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5B6C" w14:textId="77777777" w:rsidR="009542C4" w:rsidRPr="00E444B1" w:rsidRDefault="009542C4">
      <w:pPr>
        <w:rPr>
          <w:lang w:val="fr-CA"/>
        </w:rPr>
      </w:pPr>
    </w:p>
    <w:p w14:paraId="11EF1168" w14:textId="77777777" w:rsidR="009542C4" w:rsidRPr="00E444B1" w:rsidRDefault="009542C4">
      <w:pPr>
        <w:rPr>
          <w:lang w:val="fr-CA"/>
        </w:rPr>
      </w:pPr>
    </w:p>
    <w:p w14:paraId="1B7B8E16" w14:textId="77777777" w:rsidR="009542C4" w:rsidRPr="00E444B1" w:rsidRDefault="009542C4" w:rsidP="00677198">
      <w:pPr>
        <w:spacing w:after="0"/>
        <w:rPr>
          <w:lang w:val="fr-CA"/>
        </w:rPr>
      </w:pPr>
    </w:p>
    <w:p w14:paraId="6E06AA85" w14:textId="4D4F3AC7" w:rsidR="001B1FDD" w:rsidRPr="00E444B1" w:rsidRDefault="00000000" w:rsidP="00787742">
      <w:pPr>
        <w:pStyle w:val="Heading1"/>
        <w:rPr>
          <w:lang w:val="fr-CA"/>
        </w:rPr>
      </w:pPr>
      <w:r>
        <w:rPr>
          <w:lang w:val="fr-CA"/>
        </w:rPr>
        <w:pict w14:anchorId="1E0B12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54pt;width:168pt;height:54pt;z-index:251659264;mso-position-horizontal-relative:text;mso-position-vertical-relative:page;mso-width-relative:page;mso-height-relative:page">
            <v:imagedata r:id="rId7" o:title="1 AOHT COLOUR LOGO (WMF)"/>
            <w10:wrap anchory="page"/>
          </v:shape>
        </w:pict>
      </w:r>
      <w:r w:rsidR="00C45F95" w:rsidRPr="00E444B1">
        <w:rPr>
          <w:lang w:val="fr-CA"/>
        </w:rPr>
        <w:t>S</w:t>
      </w:r>
      <w:r w:rsidR="007A7BCB" w:rsidRPr="00E444B1">
        <w:rPr>
          <w:lang w:val="fr-CA"/>
        </w:rPr>
        <w:t>outenir le partenariat et l’engagement</w:t>
      </w:r>
    </w:p>
    <w:p w14:paraId="10C8A9EE" w14:textId="654F6281" w:rsidR="00787742" w:rsidRPr="00E444B1" w:rsidRDefault="00C45F95" w:rsidP="00787742">
      <w:pPr>
        <w:pStyle w:val="Heading2"/>
        <w:rPr>
          <w:lang w:val="fr-CA"/>
        </w:rPr>
      </w:pPr>
      <w:r w:rsidRPr="00E444B1">
        <w:rPr>
          <w:lang w:val="fr-CA"/>
        </w:rPr>
        <w:t>R</w:t>
      </w:r>
      <w:r w:rsidR="007A7BCB" w:rsidRPr="00E444B1">
        <w:rPr>
          <w:lang w:val="fr-CA"/>
        </w:rPr>
        <w:t>ôles et responsabilités</w:t>
      </w:r>
    </w:p>
    <w:p w14:paraId="7D2BBB71" w14:textId="77777777" w:rsidR="00787742" w:rsidRPr="00E444B1" w:rsidRDefault="00787742" w:rsidP="00C45F95">
      <w:pPr>
        <w:spacing w:after="0"/>
        <w:rPr>
          <w:lang w:val="fr-CA"/>
        </w:rPr>
      </w:pPr>
    </w:p>
    <w:p w14:paraId="11C2CFCC" w14:textId="6D47056D" w:rsidR="00C45F95" w:rsidRPr="00E444B1" w:rsidRDefault="007A7BCB" w:rsidP="00815429">
      <w:pPr>
        <w:rPr>
          <w:lang w:val="fr-CA"/>
        </w:rPr>
      </w:pPr>
      <w:r w:rsidRPr="00E444B1">
        <w:rPr>
          <w:lang w:val="fr-CA"/>
        </w:rPr>
        <w:t>L’affectation de ressources exclusivement consacrées au soutien du partenariat et de l’engagement communautaire est essentielle au succès. V</w:t>
      </w:r>
      <w:r w:rsidR="00BA0B0E" w:rsidRPr="00E444B1">
        <w:rPr>
          <w:lang w:val="fr-CA"/>
        </w:rPr>
        <w:t xml:space="preserve">oici </w:t>
      </w:r>
      <w:r w:rsidRPr="00E444B1">
        <w:rPr>
          <w:lang w:val="fr-CA"/>
        </w:rPr>
        <w:t>des exemples de rôles et de responsabilités nécessaires au soutien du partenariat et de l’engagement communautaire.</w:t>
      </w:r>
    </w:p>
    <w:p w14:paraId="79AA6E64" w14:textId="685D949E" w:rsidR="00C45F95" w:rsidRPr="00E444B1" w:rsidRDefault="007A7BCB" w:rsidP="00C45F95">
      <w:pPr>
        <w:pStyle w:val="Heading3"/>
        <w:spacing w:after="240"/>
        <w:rPr>
          <w:lang w:val="fr-CA"/>
        </w:rPr>
      </w:pPr>
      <w:r w:rsidRPr="00E444B1">
        <w:rPr>
          <w:lang w:val="fr-CA"/>
        </w:rPr>
        <w:t xml:space="preserve">Fonctions et responsabilités </w:t>
      </w:r>
      <w:r w:rsidR="00C45F95" w:rsidRPr="00E444B1">
        <w:rPr>
          <w:lang w:val="fr-CA"/>
        </w:rPr>
        <w:t>:</w:t>
      </w:r>
    </w:p>
    <w:p w14:paraId="1A59F5C1" w14:textId="00D599A8" w:rsidR="00C45F95" w:rsidRPr="00E444B1" w:rsidRDefault="007A7BCB" w:rsidP="00C45F95">
      <w:pPr>
        <w:pStyle w:val="ListParagraph"/>
        <w:numPr>
          <w:ilvl w:val="0"/>
          <w:numId w:val="2"/>
        </w:numPr>
        <w:ind w:left="567" w:hanging="436"/>
        <w:rPr>
          <w:lang w:val="fr-CA"/>
        </w:rPr>
      </w:pPr>
      <w:r w:rsidRPr="00E444B1">
        <w:rPr>
          <w:lang w:val="fr-CA"/>
        </w:rPr>
        <w:t xml:space="preserve">Mener de la recherche et résumer les résultats </w:t>
      </w:r>
      <w:r w:rsidR="009D734C" w:rsidRPr="00E444B1">
        <w:rPr>
          <w:lang w:val="fr-CA"/>
        </w:rPr>
        <w:t>de</w:t>
      </w:r>
      <w:r w:rsidRPr="00E444B1">
        <w:rPr>
          <w:lang w:val="fr-CA"/>
        </w:rPr>
        <w:t xml:space="preserve"> divers modèles de conseils consultatifs des patients et des familles; souligner les meilleures pratiques associées aux divers modèles et les adapter pour répondre aux exigences précises de l’organisme.</w:t>
      </w:r>
    </w:p>
    <w:p w14:paraId="0835B7AC" w14:textId="58A817AA" w:rsidR="00C45F95" w:rsidRPr="00E444B1" w:rsidRDefault="007A7BCB" w:rsidP="00C45F95">
      <w:pPr>
        <w:pStyle w:val="ListParagraph"/>
        <w:numPr>
          <w:ilvl w:val="0"/>
          <w:numId w:val="2"/>
        </w:numPr>
        <w:ind w:left="567" w:hanging="436"/>
        <w:rPr>
          <w:lang w:val="fr-CA"/>
        </w:rPr>
      </w:pPr>
      <w:r w:rsidRPr="00E444B1">
        <w:rPr>
          <w:lang w:val="fr-CA"/>
        </w:rPr>
        <w:t xml:space="preserve">Assurer la liaison avec les partenaires internes et externes pour </w:t>
      </w:r>
      <w:r w:rsidR="009D734C" w:rsidRPr="00E444B1">
        <w:rPr>
          <w:lang w:val="fr-CA"/>
        </w:rPr>
        <w:t>orienter</w:t>
      </w:r>
      <w:r w:rsidRPr="00E444B1">
        <w:rPr>
          <w:lang w:val="fr-CA"/>
        </w:rPr>
        <w:t xml:space="preserve"> l’élaboration d’une vision et d’une stratégie d’ensemble pour la mise en œuvre d’un programme de partenariat et d’engagement communautaire.</w:t>
      </w:r>
    </w:p>
    <w:p w14:paraId="0FD3EAB3" w14:textId="61911953" w:rsidR="00C45F95" w:rsidRPr="00E444B1" w:rsidRDefault="00C45F95" w:rsidP="00C45F95">
      <w:pPr>
        <w:pStyle w:val="ListParagraph"/>
        <w:numPr>
          <w:ilvl w:val="0"/>
          <w:numId w:val="2"/>
        </w:numPr>
        <w:ind w:left="567" w:hanging="436"/>
        <w:rPr>
          <w:lang w:val="fr-CA"/>
        </w:rPr>
      </w:pPr>
      <w:r w:rsidRPr="00E444B1">
        <w:rPr>
          <w:lang w:val="fr-CA"/>
        </w:rPr>
        <w:t>A</w:t>
      </w:r>
      <w:r w:rsidR="007A7BCB" w:rsidRPr="00E444B1">
        <w:rPr>
          <w:lang w:val="fr-CA"/>
        </w:rPr>
        <w:t xml:space="preserve">gir en tant qu’expert local et participer </w:t>
      </w:r>
      <w:r w:rsidR="009D734C" w:rsidRPr="00E444B1">
        <w:rPr>
          <w:lang w:val="fr-CA"/>
        </w:rPr>
        <w:t>à des</w:t>
      </w:r>
      <w:r w:rsidR="007A7BCB" w:rsidRPr="00E444B1">
        <w:rPr>
          <w:lang w:val="fr-CA"/>
        </w:rPr>
        <w:t xml:space="preserve"> </w:t>
      </w:r>
      <w:r w:rsidR="009D734C" w:rsidRPr="00E444B1">
        <w:rPr>
          <w:lang w:val="fr-CA"/>
        </w:rPr>
        <w:t>communautés</w:t>
      </w:r>
      <w:r w:rsidR="007A7BCB" w:rsidRPr="00E444B1">
        <w:rPr>
          <w:lang w:val="fr-CA"/>
        </w:rPr>
        <w:t xml:space="preserve"> de pratique.</w:t>
      </w:r>
    </w:p>
    <w:p w14:paraId="4FDF84C2" w14:textId="4872304C" w:rsidR="00C45F95" w:rsidRPr="00E444B1" w:rsidRDefault="00CD1E74" w:rsidP="00C45F95">
      <w:pPr>
        <w:pStyle w:val="ListParagraph"/>
        <w:numPr>
          <w:ilvl w:val="0"/>
          <w:numId w:val="2"/>
        </w:numPr>
        <w:ind w:left="567" w:hanging="436"/>
        <w:rPr>
          <w:lang w:val="fr-CA"/>
        </w:rPr>
      </w:pPr>
      <w:r>
        <w:rPr>
          <w:lang w:val="fr-CA"/>
        </w:rPr>
        <w:t>Produire</w:t>
      </w:r>
      <w:r w:rsidR="00F628F7" w:rsidRPr="00E444B1">
        <w:rPr>
          <w:lang w:val="fr-CA"/>
        </w:rPr>
        <w:t xml:space="preserve"> les </w:t>
      </w:r>
      <w:r w:rsidR="009D734C" w:rsidRPr="00E444B1">
        <w:rPr>
          <w:lang w:val="fr-CA"/>
        </w:rPr>
        <w:t>documents liés au</w:t>
      </w:r>
      <w:r w:rsidR="00F628F7" w:rsidRPr="00E444B1">
        <w:rPr>
          <w:lang w:val="fr-CA"/>
        </w:rPr>
        <w:t xml:space="preserve"> projet </w:t>
      </w:r>
      <w:r w:rsidR="009D734C" w:rsidRPr="00E444B1">
        <w:rPr>
          <w:lang w:val="fr-CA"/>
        </w:rPr>
        <w:t>d</w:t>
      </w:r>
      <w:r w:rsidR="00F628F7" w:rsidRPr="00E444B1">
        <w:rPr>
          <w:lang w:val="fr-CA"/>
        </w:rPr>
        <w:t>’engagement, y compris des</w:t>
      </w:r>
      <w:r w:rsidR="009D734C" w:rsidRPr="00E444B1">
        <w:rPr>
          <w:lang w:val="fr-CA"/>
        </w:rPr>
        <w:t xml:space="preserve"> documents présentant </w:t>
      </w:r>
      <w:r w:rsidR="004A118D">
        <w:rPr>
          <w:lang w:val="fr-CA"/>
        </w:rPr>
        <w:t>des occasions</w:t>
      </w:r>
      <w:r w:rsidR="00C45F95" w:rsidRPr="00E444B1">
        <w:rPr>
          <w:lang w:val="fr-CA"/>
        </w:rPr>
        <w:t xml:space="preserve">, </w:t>
      </w:r>
      <w:r w:rsidR="00F628F7" w:rsidRPr="00E444B1">
        <w:rPr>
          <w:lang w:val="fr-CA"/>
        </w:rPr>
        <w:t>des prévisions des ressources, des mandats de projet, des plans de projet, etc.</w:t>
      </w:r>
    </w:p>
    <w:p w14:paraId="4CF4D500" w14:textId="43A0B258" w:rsidR="00C45F95" w:rsidRPr="00E444B1" w:rsidRDefault="00F628F7" w:rsidP="00C45F95">
      <w:pPr>
        <w:pStyle w:val="ListParagraph"/>
        <w:numPr>
          <w:ilvl w:val="0"/>
          <w:numId w:val="2"/>
        </w:numPr>
        <w:ind w:left="567" w:hanging="436"/>
        <w:rPr>
          <w:lang w:val="fr-CA"/>
        </w:rPr>
      </w:pPr>
      <w:r w:rsidRPr="00E444B1">
        <w:rPr>
          <w:lang w:val="fr-CA"/>
        </w:rPr>
        <w:t xml:space="preserve">Élaborer des documents se rapportant au partenariat et à l’engagement communautaire, </w:t>
      </w:r>
      <w:r w:rsidR="009D734C" w:rsidRPr="00E444B1">
        <w:rPr>
          <w:lang w:val="fr-CA"/>
        </w:rPr>
        <w:t xml:space="preserve">p. ex. </w:t>
      </w:r>
      <w:r w:rsidR="000B1CD3" w:rsidRPr="00E444B1">
        <w:rPr>
          <w:lang w:val="fr-CA"/>
        </w:rPr>
        <w:t>cadre de référence, vision, mission, descriptions de rôle</w:t>
      </w:r>
      <w:r w:rsidR="009D734C" w:rsidRPr="00E444B1">
        <w:rPr>
          <w:lang w:val="fr-CA"/>
        </w:rPr>
        <w:t>s</w:t>
      </w:r>
      <w:r w:rsidR="000B1CD3" w:rsidRPr="00E444B1">
        <w:rPr>
          <w:lang w:val="fr-CA"/>
        </w:rPr>
        <w:t>, objectifs et principes directeurs du programme.</w:t>
      </w:r>
    </w:p>
    <w:p w14:paraId="679C48A0" w14:textId="08053A5A" w:rsidR="00C45F95" w:rsidRPr="00E444B1" w:rsidRDefault="000B1CD3" w:rsidP="00C45F95">
      <w:pPr>
        <w:pStyle w:val="ListParagraph"/>
        <w:numPr>
          <w:ilvl w:val="0"/>
          <w:numId w:val="2"/>
        </w:numPr>
        <w:ind w:left="567" w:hanging="436"/>
        <w:rPr>
          <w:lang w:val="fr-CA"/>
        </w:rPr>
      </w:pPr>
      <w:r w:rsidRPr="00E444B1">
        <w:rPr>
          <w:lang w:val="fr-CA"/>
        </w:rPr>
        <w:t>Mener des consultations sur l</w:t>
      </w:r>
      <w:r w:rsidR="009D734C" w:rsidRPr="00E444B1">
        <w:rPr>
          <w:lang w:val="fr-CA"/>
        </w:rPr>
        <w:t xml:space="preserve">’élaboration </w:t>
      </w:r>
      <w:r w:rsidRPr="00E444B1">
        <w:rPr>
          <w:lang w:val="fr-CA"/>
        </w:rPr>
        <w:t>de la structure du programme, y compris la composition et la taille de l’équipe, la fréquence et la durée des réunions</w:t>
      </w:r>
      <w:r w:rsidR="009D734C" w:rsidRPr="00E444B1">
        <w:rPr>
          <w:lang w:val="fr-CA"/>
        </w:rPr>
        <w:t>,</w:t>
      </w:r>
      <w:r w:rsidRPr="00E444B1">
        <w:rPr>
          <w:lang w:val="fr-CA"/>
        </w:rPr>
        <w:t xml:space="preserve"> et le mandat.</w:t>
      </w:r>
    </w:p>
    <w:p w14:paraId="719B03FB" w14:textId="06E6AECB" w:rsidR="00C45F95" w:rsidRPr="00E444B1" w:rsidRDefault="000B1CD3" w:rsidP="00C45F95">
      <w:pPr>
        <w:pStyle w:val="ListParagraph"/>
        <w:numPr>
          <w:ilvl w:val="0"/>
          <w:numId w:val="2"/>
        </w:numPr>
        <w:ind w:left="567" w:hanging="436"/>
        <w:rPr>
          <w:lang w:val="fr-CA"/>
        </w:rPr>
      </w:pPr>
      <w:r w:rsidRPr="00E444B1">
        <w:rPr>
          <w:lang w:val="fr-CA"/>
        </w:rPr>
        <w:t xml:space="preserve">Participer au recrutement, aux entrevues et à la sélection des candidats et </w:t>
      </w:r>
      <w:r w:rsidR="008D303B" w:rsidRPr="00E444B1">
        <w:rPr>
          <w:lang w:val="fr-CA"/>
        </w:rPr>
        <w:t>offrir</w:t>
      </w:r>
      <w:r w:rsidRPr="00E444B1">
        <w:rPr>
          <w:lang w:val="fr-CA"/>
        </w:rPr>
        <w:t xml:space="preserve"> la séance d’orientation et la formation des </w:t>
      </w:r>
      <w:r w:rsidR="00C45F95" w:rsidRPr="00E444B1">
        <w:rPr>
          <w:lang w:val="fr-CA"/>
        </w:rPr>
        <w:t>patient</w:t>
      </w:r>
      <w:r w:rsidRPr="00E444B1">
        <w:rPr>
          <w:lang w:val="fr-CA"/>
        </w:rPr>
        <w:t>s</w:t>
      </w:r>
      <w:r w:rsidR="00C45F95" w:rsidRPr="00E444B1">
        <w:rPr>
          <w:lang w:val="fr-CA"/>
        </w:rPr>
        <w:t xml:space="preserve">, </w:t>
      </w:r>
      <w:r w:rsidRPr="00E444B1">
        <w:rPr>
          <w:lang w:val="fr-CA"/>
        </w:rPr>
        <w:t xml:space="preserve">des membres de la famille, des </w:t>
      </w:r>
      <w:r w:rsidR="00CD1E74">
        <w:rPr>
          <w:lang w:val="fr-CA"/>
        </w:rPr>
        <w:t xml:space="preserve">proches </w:t>
      </w:r>
      <w:r w:rsidRPr="00E444B1">
        <w:rPr>
          <w:lang w:val="fr-CA"/>
        </w:rPr>
        <w:t>aidants et des membres du personnel participants.</w:t>
      </w:r>
      <w:r w:rsidR="00815429" w:rsidRPr="00E444B1">
        <w:rPr>
          <w:lang w:val="fr-CA"/>
        </w:rPr>
        <w:t xml:space="preserve"> </w:t>
      </w:r>
      <w:r w:rsidR="00534F54" w:rsidRPr="00E444B1">
        <w:rPr>
          <w:lang w:val="fr-CA"/>
        </w:rPr>
        <w:t xml:space="preserve">Chercher à trouver des patients, </w:t>
      </w:r>
      <w:r w:rsidR="00CD1E74">
        <w:rPr>
          <w:lang w:val="fr-CA"/>
        </w:rPr>
        <w:t xml:space="preserve">des </w:t>
      </w:r>
      <w:r w:rsidR="00534F54" w:rsidRPr="00E444B1">
        <w:rPr>
          <w:lang w:val="fr-CA"/>
        </w:rPr>
        <w:t>membres de la famille et</w:t>
      </w:r>
      <w:r w:rsidR="00CD1E74">
        <w:rPr>
          <w:lang w:val="fr-CA"/>
        </w:rPr>
        <w:t xml:space="preserve"> des proches</w:t>
      </w:r>
      <w:r w:rsidR="00534F54" w:rsidRPr="00E444B1">
        <w:rPr>
          <w:lang w:val="fr-CA"/>
        </w:rPr>
        <w:t xml:space="preserve"> aidants</w:t>
      </w:r>
      <w:r w:rsidR="008D303B" w:rsidRPr="00E444B1">
        <w:rPr>
          <w:lang w:val="fr-CA"/>
        </w:rPr>
        <w:t xml:space="preserve"> représentant</w:t>
      </w:r>
      <w:r w:rsidR="00534F54" w:rsidRPr="00E444B1">
        <w:rPr>
          <w:lang w:val="fr-CA"/>
        </w:rPr>
        <w:t xml:space="preserve"> divers soins cliniques et services offerts et réfléchir à la diversité des personnes </w:t>
      </w:r>
      <w:r w:rsidR="008D303B" w:rsidRPr="00E444B1">
        <w:rPr>
          <w:lang w:val="fr-CA"/>
        </w:rPr>
        <w:t>à qui l’organisme offre des services</w:t>
      </w:r>
      <w:r w:rsidR="00534F54" w:rsidRPr="00E444B1">
        <w:rPr>
          <w:lang w:val="fr-CA"/>
        </w:rPr>
        <w:t xml:space="preserve">, en prenant en considération les </w:t>
      </w:r>
      <w:r w:rsidR="008D303B" w:rsidRPr="00E444B1">
        <w:rPr>
          <w:lang w:val="fr-CA"/>
        </w:rPr>
        <w:t xml:space="preserve">antécédents </w:t>
      </w:r>
      <w:r w:rsidR="00534F54" w:rsidRPr="00E444B1">
        <w:rPr>
          <w:lang w:val="fr-CA"/>
        </w:rPr>
        <w:t>socia</w:t>
      </w:r>
      <w:r w:rsidR="008D303B" w:rsidRPr="00E444B1">
        <w:rPr>
          <w:lang w:val="fr-CA"/>
        </w:rPr>
        <w:t>ux, culturels, religieux et socioéconomiques, l</w:t>
      </w:r>
      <w:r w:rsidR="00534F54" w:rsidRPr="00E444B1">
        <w:rPr>
          <w:lang w:val="fr-CA"/>
        </w:rPr>
        <w:t>’âge et le niveau d’éducation.</w:t>
      </w:r>
    </w:p>
    <w:p w14:paraId="62F49690" w14:textId="5AB00054" w:rsidR="00C45F95" w:rsidRPr="00E444B1" w:rsidRDefault="008D303B" w:rsidP="00C45F95">
      <w:pPr>
        <w:pStyle w:val="ListParagraph"/>
        <w:numPr>
          <w:ilvl w:val="0"/>
          <w:numId w:val="2"/>
        </w:numPr>
        <w:ind w:left="567" w:hanging="436"/>
        <w:rPr>
          <w:lang w:val="fr-CA"/>
        </w:rPr>
      </w:pPr>
      <w:r w:rsidRPr="00E444B1">
        <w:rPr>
          <w:lang w:val="fr-CA"/>
        </w:rPr>
        <w:t>Adopter</w:t>
      </w:r>
      <w:r w:rsidR="00534F54" w:rsidRPr="00E444B1">
        <w:rPr>
          <w:lang w:val="fr-CA"/>
        </w:rPr>
        <w:t xml:space="preserve"> une approche normalisée </w:t>
      </w:r>
      <w:r w:rsidRPr="00E444B1">
        <w:rPr>
          <w:lang w:val="fr-CA"/>
        </w:rPr>
        <w:t>pour</w:t>
      </w:r>
      <w:r w:rsidR="00534F54" w:rsidRPr="00E444B1">
        <w:rPr>
          <w:lang w:val="fr-CA"/>
        </w:rPr>
        <w:t xml:space="preserve"> l’orientation et animer la séance d’orientation de concert avec des bénévoles, des partenaires régionaux et</w:t>
      </w:r>
      <w:r w:rsidRPr="00E444B1">
        <w:rPr>
          <w:lang w:val="fr-CA"/>
        </w:rPr>
        <w:t xml:space="preserve"> d</w:t>
      </w:r>
      <w:r w:rsidR="00534F54" w:rsidRPr="00E444B1">
        <w:rPr>
          <w:lang w:val="fr-CA"/>
        </w:rPr>
        <w:t>es conseillers des patients existants.</w:t>
      </w:r>
    </w:p>
    <w:p w14:paraId="5C40FF2F" w14:textId="3BA1F13D" w:rsidR="00C45F95" w:rsidRPr="00E444B1" w:rsidRDefault="003008CD" w:rsidP="00C45F95">
      <w:pPr>
        <w:pStyle w:val="ListParagraph"/>
        <w:numPr>
          <w:ilvl w:val="0"/>
          <w:numId w:val="2"/>
        </w:numPr>
        <w:ind w:left="567" w:hanging="436"/>
        <w:rPr>
          <w:lang w:val="fr-CA"/>
        </w:rPr>
      </w:pPr>
      <w:r w:rsidRPr="00E444B1">
        <w:rPr>
          <w:lang w:val="fr-CA"/>
        </w:rPr>
        <w:t xml:space="preserve">Assurer la coordination </w:t>
      </w:r>
      <w:r w:rsidR="008D303B" w:rsidRPr="00E444B1">
        <w:rPr>
          <w:lang w:val="fr-CA"/>
        </w:rPr>
        <w:t xml:space="preserve">efficace </w:t>
      </w:r>
      <w:r w:rsidRPr="00E444B1">
        <w:rPr>
          <w:lang w:val="fr-CA"/>
        </w:rPr>
        <w:t>et en temps opportun de</w:t>
      </w:r>
      <w:r w:rsidR="008D303B" w:rsidRPr="00E444B1">
        <w:rPr>
          <w:lang w:val="fr-CA"/>
        </w:rPr>
        <w:t xml:space="preserve"> l’</w:t>
      </w:r>
      <w:r w:rsidRPr="00E444B1">
        <w:rPr>
          <w:lang w:val="fr-CA"/>
        </w:rPr>
        <w:t>ordre du jour, d</w:t>
      </w:r>
      <w:r w:rsidR="008D303B" w:rsidRPr="00E444B1">
        <w:rPr>
          <w:lang w:val="fr-CA"/>
        </w:rPr>
        <w:t>u</w:t>
      </w:r>
      <w:r w:rsidRPr="00E444B1">
        <w:rPr>
          <w:lang w:val="fr-CA"/>
        </w:rPr>
        <w:t xml:space="preserve"> procès-verba</w:t>
      </w:r>
      <w:r w:rsidR="008D303B" w:rsidRPr="00E444B1">
        <w:rPr>
          <w:lang w:val="fr-CA"/>
        </w:rPr>
        <w:t>l</w:t>
      </w:r>
      <w:r w:rsidRPr="00E444B1">
        <w:rPr>
          <w:lang w:val="fr-CA"/>
        </w:rPr>
        <w:t>, des rappels, des communications et des présentations pour toutes les réunions des conseils et des comités connexes.</w:t>
      </w:r>
    </w:p>
    <w:p w14:paraId="448A84FE" w14:textId="1517A461" w:rsidR="00C45F95" w:rsidRPr="00E444B1" w:rsidRDefault="003008CD" w:rsidP="00C45F95">
      <w:pPr>
        <w:pStyle w:val="ListParagraph"/>
        <w:numPr>
          <w:ilvl w:val="0"/>
          <w:numId w:val="2"/>
        </w:numPr>
        <w:ind w:left="567" w:hanging="436"/>
        <w:rPr>
          <w:lang w:val="fr-CA"/>
        </w:rPr>
      </w:pPr>
      <w:r w:rsidRPr="00E444B1">
        <w:rPr>
          <w:lang w:val="fr-CA"/>
        </w:rPr>
        <w:t>Agir en qualité de ressource local</w:t>
      </w:r>
      <w:r w:rsidR="008D303B" w:rsidRPr="00E444B1">
        <w:rPr>
          <w:lang w:val="fr-CA"/>
        </w:rPr>
        <w:t>e</w:t>
      </w:r>
      <w:r w:rsidRPr="00E444B1">
        <w:rPr>
          <w:lang w:val="fr-CA"/>
        </w:rPr>
        <w:t xml:space="preserve"> pour offrir un soutien aux patients, aux membres de la famille et aux </w:t>
      </w:r>
      <w:r w:rsidR="00CD1E74">
        <w:rPr>
          <w:lang w:val="fr-CA"/>
        </w:rPr>
        <w:t xml:space="preserve">proches </w:t>
      </w:r>
      <w:r w:rsidRPr="00E444B1">
        <w:rPr>
          <w:lang w:val="fr-CA"/>
        </w:rPr>
        <w:t>aidants</w:t>
      </w:r>
      <w:r w:rsidR="008D303B" w:rsidRPr="00E444B1">
        <w:rPr>
          <w:lang w:val="fr-CA"/>
        </w:rPr>
        <w:t xml:space="preserve"> </w:t>
      </w:r>
      <w:r w:rsidRPr="00E444B1">
        <w:rPr>
          <w:lang w:val="fr-CA"/>
        </w:rPr>
        <w:t xml:space="preserve">partenaires; agir à titre d’agent de liaison entre les divers partenaires et le personnel pour veiller à ce que les partenaires </w:t>
      </w:r>
      <w:r w:rsidR="008D303B" w:rsidRPr="00E444B1">
        <w:rPr>
          <w:lang w:val="fr-CA"/>
        </w:rPr>
        <w:t>participent à</w:t>
      </w:r>
      <w:r w:rsidRPr="00E444B1">
        <w:rPr>
          <w:lang w:val="fr-CA"/>
        </w:rPr>
        <w:t xml:space="preserve"> un travail enrichissant.</w:t>
      </w:r>
    </w:p>
    <w:p w14:paraId="111CD2BA" w14:textId="614F6D11" w:rsidR="00C45F95" w:rsidRPr="00E444B1" w:rsidRDefault="004A118D" w:rsidP="00C45F95">
      <w:pPr>
        <w:pStyle w:val="ListParagraph"/>
        <w:numPr>
          <w:ilvl w:val="0"/>
          <w:numId w:val="2"/>
        </w:numPr>
        <w:ind w:left="567" w:hanging="436"/>
        <w:rPr>
          <w:lang w:val="fr-CA"/>
        </w:rPr>
      </w:pPr>
      <w:r>
        <w:rPr>
          <w:lang w:val="fr-CA"/>
        </w:rPr>
        <w:t>Formuler</w:t>
      </w:r>
      <w:r w:rsidR="003008CD" w:rsidRPr="00E444B1">
        <w:rPr>
          <w:lang w:val="fr-CA"/>
        </w:rPr>
        <w:t xml:space="preserve"> </w:t>
      </w:r>
      <w:r>
        <w:rPr>
          <w:lang w:val="fr-CA"/>
        </w:rPr>
        <w:t>d</w:t>
      </w:r>
      <w:r w:rsidR="003008CD" w:rsidRPr="00E444B1">
        <w:rPr>
          <w:lang w:val="fr-CA"/>
        </w:rPr>
        <w:t xml:space="preserve">es recommandations </w:t>
      </w:r>
      <w:r w:rsidR="00F94161" w:rsidRPr="00E444B1">
        <w:rPr>
          <w:lang w:val="fr-CA"/>
        </w:rPr>
        <w:t>relatives aux</w:t>
      </w:r>
      <w:r w:rsidR="003008CD" w:rsidRPr="00E444B1">
        <w:rPr>
          <w:lang w:val="fr-CA"/>
        </w:rPr>
        <w:t xml:space="preserve"> possibilités d’amélioration clés devant être prises en considération dans le cadre du programme et en établir la priorité.</w:t>
      </w:r>
    </w:p>
    <w:p w14:paraId="644E7B43" w14:textId="7221BC30" w:rsidR="008B4638" w:rsidRPr="00E444B1" w:rsidRDefault="003008CD" w:rsidP="008B4638">
      <w:pPr>
        <w:pStyle w:val="ListParagraph"/>
        <w:numPr>
          <w:ilvl w:val="0"/>
          <w:numId w:val="2"/>
        </w:numPr>
        <w:ind w:left="567" w:hanging="436"/>
        <w:rPr>
          <w:lang w:val="fr-CA"/>
        </w:rPr>
      </w:pPr>
      <w:r w:rsidRPr="00E444B1">
        <w:rPr>
          <w:lang w:val="fr-CA"/>
        </w:rPr>
        <w:lastRenderedPageBreak/>
        <w:t xml:space="preserve">Élaborer des outils de communication qui permettront de transmettre les résultats du travail accompli à </w:t>
      </w:r>
      <w:r w:rsidR="00F94161" w:rsidRPr="00E444B1">
        <w:rPr>
          <w:lang w:val="fr-CA"/>
        </w:rPr>
        <w:t>l’ensemble de l</w:t>
      </w:r>
      <w:r w:rsidRPr="00E444B1">
        <w:rPr>
          <w:lang w:val="fr-CA"/>
        </w:rPr>
        <w:t xml:space="preserve">a </w:t>
      </w:r>
      <w:r w:rsidR="00655314" w:rsidRPr="00E444B1">
        <w:rPr>
          <w:lang w:val="fr-CA"/>
        </w:rPr>
        <w:t xml:space="preserve">communauté </w:t>
      </w:r>
      <w:r w:rsidR="00F94161" w:rsidRPr="00E444B1">
        <w:rPr>
          <w:lang w:val="fr-CA"/>
        </w:rPr>
        <w:t>et au</w:t>
      </w:r>
      <w:r w:rsidR="00655314" w:rsidRPr="00E444B1">
        <w:rPr>
          <w:lang w:val="fr-CA"/>
        </w:rPr>
        <w:t xml:space="preserve"> personne</w:t>
      </w:r>
      <w:r w:rsidR="00F94161" w:rsidRPr="00E444B1">
        <w:rPr>
          <w:lang w:val="fr-CA"/>
        </w:rPr>
        <w:t>l</w:t>
      </w:r>
      <w:r w:rsidR="00655314" w:rsidRPr="00E444B1">
        <w:rPr>
          <w:lang w:val="fr-CA"/>
        </w:rPr>
        <w:t xml:space="preserve">, </w:t>
      </w:r>
      <w:r w:rsidR="004A118D">
        <w:rPr>
          <w:lang w:val="fr-CA"/>
        </w:rPr>
        <w:t>y compris, sans toutefois s’y limiter, les</w:t>
      </w:r>
      <w:r w:rsidR="00F94161" w:rsidRPr="00E444B1">
        <w:rPr>
          <w:lang w:val="fr-CA"/>
        </w:rPr>
        <w:t xml:space="preserve"> </w:t>
      </w:r>
      <w:r w:rsidR="00655314" w:rsidRPr="00E444B1">
        <w:rPr>
          <w:lang w:val="fr-CA"/>
        </w:rPr>
        <w:t xml:space="preserve">bulletins d’information, </w:t>
      </w:r>
      <w:r w:rsidR="004A118D">
        <w:rPr>
          <w:lang w:val="fr-CA"/>
        </w:rPr>
        <w:t xml:space="preserve">les </w:t>
      </w:r>
      <w:r w:rsidR="00655314" w:rsidRPr="00E444B1">
        <w:rPr>
          <w:lang w:val="fr-CA"/>
        </w:rPr>
        <w:t xml:space="preserve">rapports annuels et </w:t>
      </w:r>
      <w:r w:rsidR="004A118D">
        <w:rPr>
          <w:lang w:val="fr-CA"/>
        </w:rPr>
        <w:t xml:space="preserve">les </w:t>
      </w:r>
      <w:r w:rsidR="00655314" w:rsidRPr="00E444B1">
        <w:rPr>
          <w:lang w:val="fr-CA"/>
        </w:rPr>
        <w:t>communiqués.</w:t>
      </w:r>
    </w:p>
    <w:p w14:paraId="31DB9B59" w14:textId="43B8DB90" w:rsidR="00C45F95" w:rsidRPr="00E444B1" w:rsidRDefault="00655314" w:rsidP="00C45F95">
      <w:pPr>
        <w:pStyle w:val="ListParagraph"/>
        <w:numPr>
          <w:ilvl w:val="0"/>
          <w:numId w:val="2"/>
        </w:numPr>
        <w:ind w:left="567" w:hanging="436"/>
        <w:rPr>
          <w:lang w:val="fr-CA"/>
        </w:rPr>
      </w:pPr>
      <w:r w:rsidRPr="00E444B1">
        <w:rPr>
          <w:lang w:val="fr-CA"/>
        </w:rPr>
        <w:t xml:space="preserve">Concevoir des documents de reconnaissance ou coordonner des événements pour reconnaître le travail accompli par les patients, </w:t>
      </w:r>
      <w:r w:rsidR="00F94161" w:rsidRPr="00E444B1">
        <w:rPr>
          <w:lang w:val="fr-CA"/>
        </w:rPr>
        <w:t xml:space="preserve">les </w:t>
      </w:r>
      <w:r w:rsidRPr="00E444B1">
        <w:rPr>
          <w:lang w:val="fr-CA"/>
        </w:rPr>
        <w:t xml:space="preserve">membres de la famille et </w:t>
      </w:r>
      <w:r w:rsidR="00F94161" w:rsidRPr="00E444B1">
        <w:rPr>
          <w:lang w:val="fr-CA"/>
        </w:rPr>
        <w:t xml:space="preserve">les </w:t>
      </w:r>
      <w:r w:rsidR="00CD1E74">
        <w:rPr>
          <w:lang w:val="fr-CA"/>
        </w:rPr>
        <w:t xml:space="preserve">proches </w:t>
      </w:r>
      <w:r w:rsidRPr="00E444B1">
        <w:rPr>
          <w:lang w:val="fr-CA"/>
        </w:rPr>
        <w:t>aidants partenaires.</w:t>
      </w:r>
    </w:p>
    <w:p w14:paraId="50E36F49" w14:textId="74E09B4C" w:rsidR="00C45F95" w:rsidRPr="00E444B1" w:rsidRDefault="00C45F95" w:rsidP="00C45F95">
      <w:pPr>
        <w:pStyle w:val="ListParagraph"/>
        <w:numPr>
          <w:ilvl w:val="0"/>
          <w:numId w:val="2"/>
        </w:numPr>
        <w:ind w:left="567" w:hanging="436"/>
        <w:rPr>
          <w:lang w:val="fr-CA"/>
        </w:rPr>
      </w:pPr>
      <w:r w:rsidRPr="00E444B1">
        <w:rPr>
          <w:lang w:val="fr-CA"/>
        </w:rPr>
        <w:t>Pr</w:t>
      </w:r>
      <w:r w:rsidR="00655314" w:rsidRPr="00E444B1">
        <w:rPr>
          <w:lang w:val="fr-CA"/>
        </w:rPr>
        <w:t xml:space="preserve">éparer et faire des présentations </w:t>
      </w:r>
      <w:r w:rsidR="004A118D">
        <w:rPr>
          <w:lang w:val="fr-CA"/>
        </w:rPr>
        <w:t xml:space="preserve">orales </w:t>
      </w:r>
      <w:r w:rsidR="00655314" w:rsidRPr="00E444B1">
        <w:rPr>
          <w:lang w:val="fr-CA"/>
        </w:rPr>
        <w:t xml:space="preserve">à l’interne et à l’externe sur le travail accompli par le </w:t>
      </w:r>
      <w:r w:rsidR="004A118D">
        <w:rPr>
          <w:lang w:val="fr-CA"/>
        </w:rPr>
        <w:t>p</w:t>
      </w:r>
      <w:r w:rsidR="00655314" w:rsidRPr="00E444B1">
        <w:rPr>
          <w:lang w:val="fr-CA"/>
        </w:rPr>
        <w:t>rogramme consultatif des patients et des familles afin de faire mieux comprendre le rôle du programme.</w:t>
      </w:r>
    </w:p>
    <w:p w14:paraId="40312813" w14:textId="1A376079" w:rsidR="00C45F95" w:rsidRPr="00E444B1" w:rsidRDefault="00655314" w:rsidP="00C45F95">
      <w:pPr>
        <w:pStyle w:val="ListParagraph"/>
        <w:numPr>
          <w:ilvl w:val="0"/>
          <w:numId w:val="2"/>
        </w:numPr>
        <w:ind w:left="567" w:hanging="436"/>
        <w:rPr>
          <w:lang w:val="fr-CA"/>
        </w:rPr>
      </w:pPr>
      <w:r w:rsidRPr="00E444B1">
        <w:rPr>
          <w:lang w:val="fr-CA"/>
        </w:rPr>
        <w:t xml:space="preserve">Participer </w:t>
      </w:r>
      <w:r w:rsidR="00F94161" w:rsidRPr="00E444B1">
        <w:rPr>
          <w:lang w:val="fr-CA"/>
        </w:rPr>
        <w:t>au jumelage</w:t>
      </w:r>
      <w:r w:rsidRPr="00E444B1">
        <w:rPr>
          <w:lang w:val="fr-CA"/>
        </w:rPr>
        <w:t xml:space="preserve"> des patients, </w:t>
      </w:r>
      <w:r w:rsidR="00F94161" w:rsidRPr="00E444B1">
        <w:rPr>
          <w:lang w:val="fr-CA"/>
        </w:rPr>
        <w:t xml:space="preserve">des </w:t>
      </w:r>
      <w:r w:rsidRPr="00E444B1">
        <w:rPr>
          <w:lang w:val="fr-CA"/>
        </w:rPr>
        <w:t xml:space="preserve">membres de la famille et </w:t>
      </w:r>
      <w:r w:rsidR="00F94161" w:rsidRPr="00E444B1">
        <w:rPr>
          <w:lang w:val="fr-CA"/>
        </w:rPr>
        <w:t xml:space="preserve">des </w:t>
      </w:r>
      <w:r w:rsidR="00CD1E74">
        <w:rPr>
          <w:lang w:val="fr-CA"/>
        </w:rPr>
        <w:t xml:space="preserve">proches </w:t>
      </w:r>
      <w:r w:rsidRPr="00E444B1">
        <w:rPr>
          <w:lang w:val="fr-CA"/>
        </w:rPr>
        <w:t xml:space="preserve">aidants partenaires </w:t>
      </w:r>
      <w:r w:rsidR="00F94161" w:rsidRPr="00E444B1">
        <w:rPr>
          <w:lang w:val="fr-CA"/>
        </w:rPr>
        <w:t>sur les</w:t>
      </w:r>
      <w:r w:rsidRPr="00E444B1">
        <w:rPr>
          <w:lang w:val="fr-CA"/>
        </w:rPr>
        <w:t xml:space="preserve"> divers comités et programmes.</w:t>
      </w:r>
      <w:r w:rsidR="00C45F95" w:rsidRPr="00E444B1">
        <w:rPr>
          <w:lang w:val="fr-CA"/>
        </w:rPr>
        <w:t xml:space="preserve"> </w:t>
      </w:r>
    </w:p>
    <w:p w14:paraId="38DB319A" w14:textId="489A653C" w:rsidR="00C45F95" w:rsidRPr="00E444B1" w:rsidRDefault="00655314" w:rsidP="00C45F95">
      <w:pPr>
        <w:pStyle w:val="ListParagraph"/>
        <w:numPr>
          <w:ilvl w:val="0"/>
          <w:numId w:val="2"/>
        </w:numPr>
        <w:ind w:left="567" w:hanging="436"/>
        <w:rPr>
          <w:lang w:val="fr-CA"/>
        </w:rPr>
      </w:pPr>
      <w:r w:rsidRPr="00E444B1">
        <w:rPr>
          <w:lang w:val="fr-CA"/>
        </w:rPr>
        <w:t>Concevoir un</w:t>
      </w:r>
      <w:r w:rsidR="00F94161" w:rsidRPr="00E444B1">
        <w:rPr>
          <w:lang w:val="fr-CA"/>
        </w:rPr>
        <w:t xml:space="preserve"> ensemble de </w:t>
      </w:r>
      <w:r w:rsidRPr="00E444B1">
        <w:rPr>
          <w:lang w:val="fr-CA"/>
        </w:rPr>
        <w:t>politiques et procédures standard.</w:t>
      </w:r>
      <w:r w:rsidR="00C45F95" w:rsidRPr="00E444B1">
        <w:rPr>
          <w:lang w:val="fr-CA"/>
        </w:rPr>
        <w:t xml:space="preserve"> </w:t>
      </w:r>
    </w:p>
    <w:p w14:paraId="4C0AAC79" w14:textId="45064D63" w:rsidR="00C45F95" w:rsidRPr="00E444B1" w:rsidRDefault="00655314" w:rsidP="00C45F95">
      <w:pPr>
        <w:pStyle w:val="ListParagraph"/>
        <w:numPr>
          <w:ilvl w:val="0"/>
          <w:numId w:val="2"/>
        </w:numPr>
        <w:ind w:left="567" w:hanging="436"/>
        <w:rPr>
          <w:lang w:val="fr-CA"/>
        </w:rPr>
      </w:pPr>
      <w:r w:rsidRPr="00E444B1">
        <w:rPr>
          <w:lang w:val="fr-CA"/>
        </w:rPr>
        <w:t>Assurer le suivi et la surveillance du budget du projet.</w:t>
      </w:r>
    </w:p>
    <w:p w14:paraId="50877B64" w14:textId="3043CE25" w:rsidR="00C45F95" w:rsidRPr="00E444B1" w:rsidRDefault="00655314" w:rsidP="00C45F95">
      <w:pPr>
        <w:pStyle w:val="ListParagraph"/>
        <w:numPr>
          <w:ilvl w:val="0"/>
          <w:numId w:val="2"/>
        </w:numPr>
        <w:ind w:left="567" w:hanging="436"/>
        <w:rPr>
          <w:lang w:val="fr-CA"/>
        </w:rPr>
      </w:pPr>
      <w:r w:rsidRPr="00E444B1">
        <w:rPr>
          <w:lang w:val="fr-CA"/>
        </w:rPr>
        <w:t>Préparer un résumé des résultats du projet et faire des recommandations en fonction de ces résultats.</w:t>
      </w:r>
    </w:p>
    <w:p w14:paraId="78959892" w14:textId="5ACC4689" w:rsidR="00787742" w:rsidRPr="00E444B1" w:rsidRDefault="00655314" w:rsidP="00C45F95">
      <w:pPr>
        <w:pStyle w:val="ListParagraph"/>
        <w:numPr>
          <w:ilvl w:val="0"/>
          <w:numId w:val="2"/>
        </w:numPr>
        <w:ind w:left="567" w:hanging="436"/>
        <w:rPr>
          <w:lang w:val="fr-CA"/>
        </w:rPr>
      </w:pPr>
      <w:r w:rsidRPr="00E444B1">
        <w:rPr>
          <w:lang w:val="fr-CA"/>
        </w:rPr>
        <w:t>Contribuer à l’élaboration d’une stratégie pour la mise sur pied d’un programme de partenariat et d’engagement communautaire.</w:t>
      </w:r>
    </w:p>
    <w:sectPr w:rsidR="00787742" w:rsidRPr="00E44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4542" w14:textId="77777777" w:rsidR="0047756C" w:rsidRDefault="0047756C" w:rsidP="005C13E1">
      <w:pPr>
        <w:spacing w:after="0" w:line="240" w:lineRule="auto"/>
      </w:pPr>
      <w:r>
        <w:separator/>
      </w:r>
    </w:p>
  </w:endnote>
  <w:endnote w:type="continuationSeparator" w:id="0">
    <w:p w14:paraId="38587945" w14:textId="77777777" w:rsidR="0047756C" w:rsidRDefault="0047756C" w:rsidP="005C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684B" w14:textId="77777777" w:rsidR="00E444B1" w:rsidRDefault="00E44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EC4F" w14:textId="77777777" w:rsidR="005579A5" w:rsidRDefault="005579A5" w:rsidP="005C13E1">
    <w:pPr>
      <w:pStyle w:val="Footer"/>
      <w:jc w:val="right"/>
      <w:rPr>
        <w:rFonts w:ascii="Calibri Light" w:hAnsi="Calibri Light" w:cs="Calibri Light"/>
      </w:rPr>
    </w:pPr>
  </w:p>
  <w:p w14:paraId="719E851D" w14:textId="09C6AC2E" w:rsidR="005579A5" w:rsidRPr="005579A5" w:rsidRDefault="005579A5" w:rsidP="005579A5">
    <w:pPr>
      <w:pStyle w:val="Footer"/>
      <w:rPr>
        <w:rFonts w:ascii="Arial" w:hAnsi="Arial" w:cs="Arial"/>
        <w:sz w:val="20"/>
      </w:rPr>
    </w:pPr>
  </w:p>
  <w:p w14:paraId="69659175" w14:textId="1B79A20C" w:rsidR="005C13E1" w:rsidRPr="008D303B" w:rsidRDefault="00000000" w:rsidP="005579A5">
    <w:pPr>
      <w:pStyle w:val="Footer"/>
      <w:rPr>
        <w:rFonts w:ascii="Franklin Gothic Book" w:hAnsi="Franklin Gothic Book"/>
        <w:b/>
        <w:color w:val="056046" w:themeColor="text2"/>
        <w:lang w:val="fr-CA"/>
      </w:rPr>
    </w:pPr>
    <w:hyperlink r:id="rId1" w:history="1">
      <w:r w:rsidR="008D303B" w:rsidRPr="008D303B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>Boîte à outils de l’ESAO sur le</w:t>
      </w:r>
      <w:r w:rsidR="008D303B">
        <w:rPr>
          <w:rStyle w:val="Hyperlink"/>
          <w:rFonts w:ascii="Arial" w:hAnsi="Arial" w:cs="Arial"/>
          <w:b/>
          <w:color w:val="056046" w:themeColor="text2"/>
          <w:sz w:val="20"/>
          <w:u w:val="none"/>
          <w:lang w:val="fr-CA"/>
        </w:rPr>
        <w:t xml:space="preserve"> partenariat communautaire</w:t>
      </w:r>
    </w:hyperlink>
    <w:r w:rsidR="00815DED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57E271" wp14:editId="6496DCF8">
              <wp:simplePos x="0" y="0"/>
              <wp:positionH relativeFrom="column">
                <wp:posOffset>4463415</wp:posOffset>
              </wp:positionH>
              <wp:positionV relativeFrom="paragraph">
                <wp:posOffset>-2518410</wp:posOffset>
              </wp:positionV>
              <wp:extent cx="1401445" cy="5545455"/>
              <wp:effectExtent l="0" t="1329055" r="0" b="565150"/>
              <wp:wrapNone/>
              <wp:docPr id="3" name="Mo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4367045">
                        <a:off x="0" y="0"/>
                        <a:ext cx="1401445" cy="5545455"/>
                      </a:xfrm>
                      <a:prstGeom prst="moon">
                        <a:avLst>
                          <a:gd name="adj" fmla="val 7357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162DD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3" o:spid="_x0000_s1026" type="#_x0000_t184" style="position:absolute;margin-left:351.45pt;margin-top:-198.3pt;width:110.35pt;height:436.65pt;rotation:-7900316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" adj="15891" fillcolor="#9cee8c [3205]" stroked="f" strokeweight="1pt"/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0AA80C2F" wp14:editId="6BE824BD">
              <wp:simplePos x="0" y="0"/>
              <wp:positionH relativeFrom="page">
                <wp:posOffset>3459479</wp:posOffset>
              </wp:positionH>
              <wp:positionV relativeFrom="paragraph">
                <wp:posOffset>-2821305</wp:posOffset>
              </wp:positionV>
              <wp:extent cx="4656455" cy="3597275"/>
              <wp:effectExtent l="0" t="0" r="0" b="3175"/>
              <wp:wrapNone/>
              <wp:docPr id="2" name="Right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56455" cy="3597275"/>
                      </a:xfrm>
                      <a:prstGeom prst="rtTriangl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8DB6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" o:spid="_x0000_s1026" type="#_x0000_t6" style="position:absolute;margin-left:272.4pt;margin-top:-222.15pt;width:366.65pt;height:283.25pt;flip:x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" fillcolor="#e1f9dc [3214]" stroked="f" strokeweight="1pt">
              <w10:wrap anchorx="page"/>
            </v:shape>
          </w:pict>
        </mc:Fallback>
      </mc:AlternateContent>
    </w:r>
    <w:r w:rsidR="005C13E1"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D6534E" wp14:editId="1046BFDD">
              <wp:simplePos x="0" y="0"/>
              <wp:positionH relativeFrom="column">
                <wp:posOffset>3529965</wp:posOffset>
              </wp:positionH>
              <wp:positionV relativeFrom="paragraph">
                <wp:posOffset>-698500</wp:posOffset>
              </wp:positionV>
              <wp:extent cx="3338195" cy="1477645"/>
              <wp:effectExtent l="0" t="0" r="0" b="8255"/>
              <wp:wrapNone/>
              <wp:docPr id="1" name="Right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38195" cy="1477645"/>
                      </a:xfrm>
                      <a:prstGeom prst="rtTriangl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212ED0" id="Right Triangle 1" o:spid="_x0000_s1026" type="#_x0000_t6" style="position:absolute;margin-left:277.95pt;margin-top:-55pt;width:262.85pt;height:116.3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" fillcolor="#9cee8c [3205]" stroked="f" strokeweight="1pt"/>
          </w:pict>
        </mc:Fallback>
      </mc:AlternateContent>
    </w:r>
    <w:r w:rsidR="005C13E1" w:rsidRPr="008D303B">
      <w:rPr>
        <w:lang w:val="fr-CA"/>
      </w:rPr>
      <w:tab/>
    </w:r>
    <w:sdt>
      <w:sdtPr>
        <w:id w:val="199206145"/>
        <w:docPartObj>
          <w:docPartGallery w:val="Page Numbers (Bottom of Page)"/>
          <w:docPartUnique/>
        </w:docPartObj>
      </w:sdtPr>
      <w:sdtEndPr>
        <w:rPr>
          <w:rFonts w:ascii="Franklin Gothic Book" w:hAnsi="Franklin Gothic Book"/>
          <w:noProof/>
        </w:rPr>
      </w:sdtEndPr>
      <w:sdtContent>
        <w:r w:rsidR="005C13E1" w:rsidRPr="005579A5">
          <w:rPr>
            <w:rFonts w:ascii="Franklin Gothic Book" w:hAnsi="Franklin Gothic Book"/>
          </w:rPr>
          <w:fldChar w:fldCharType="begin"/>
        </w:r>
        <w:r w:rsidR="005C13E1" w:rsidRPr="008D303B">
          <w:rPr>
            <w:rFonts w:ascii="Franklin Gothic Book" w:hAnsi="Franklin Gothic Book"/>
            <w:lang w:val="fr-CA"/>
          </w:rPr>
          <w:instrText xml:space="preserve"> PAGE   \* MERGEFORMAT </w:instrText>
        </w:r>
        <w:r w:rsidR="005C13E1" w:rsidRPr="005579A5">
          <w:rPr>
            <w:rFonts w:ascii="Franklin Gothic Book" w:hAnsi="Franklin Gothic Book"/>
          </w:rPr>
          <w:fldChar w:fldCharType="separate"/>
        </w:r>
        <w:r w:rsidR="008B4638" w:rsidRPr="008D303B">
          <w:rPr>
            <w:rFonts w:ascii="Franklin Gothic Book" w:hAnsi="Franklin Gothic Book"/>
            <w:noProof/>
            <w:lang w:val="fr-CA"/>
          </w:rPr>
          <w:t>2</w:t>
        </w:r>
        <w:r w:rsidR="005C13E1" w:rsidRPr="005579A5">
          <w:rPr>
            <w:rFonts w:ascii="Franklin Gothic Book" w:hAnsi="Franklin Gothic Book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576C" w14:textId="77777777" w:rsidR="00E444B1" w:rsidRDefault="00E44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EA95" w14:textId="77777777" w:rsidR="0047756C" w:rsidRDefault="0047756C" w:rsidP="005C13E1">
      <w:pPr>
        <w:spacing w:after="0" w:line="240" w:lineRule="auto"/>
      </w:pPr>
      <w:r>
        <w:separator/>
      </w:r>
    </w:p>
  </w:footnote>
  <w:footnote w:type="continuationSeparator" w:id="0">
    <w:p w14:paraId="06B1C775" w14:textId="77777777" w:rsidR="0047756C" w:rsidRDefault="0047756C" w:rsidP="005C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34AA" w14:textId="77777777" w:rsidR="00E444B1" w:rsidRDefault="00E44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66F5" w14:textId="77777777" w:rsidR="005C13E1" w:rsidRDefault="005C13E1">
    <w:pPr>
      <w:pStyle w:val="Header"/>
    </w:pPr>
    <w:r>
      <w:rPr>
        <w:rFonts w:ascii="Calibri Light" w:hAnsi="Calibri Light" w:cs="Calibri Light"/>
        <w:noProof/>
        <w:lang w:eastAsia="en-CA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563D1CA2" wp14:editId="01806964">
              <wp:simplePos x="0" y="0"/>
              <wp:positionH relativeFrom="margin">
                <wp:posOffset>3535997</wp:posOffset>
              </wp:positionH>
              <wp:positionV relativeFrom="paragraph">
                <wp:posOffset>2895282</wp:posOffset>
              </wp:positionV>
              <wp:extent cx="2007870" cy="9632315"/>
              <wp:effectExtent l="0" t="3069273" r="0" b="1933257"/>
              <wp:wrapNone/>
              <wp:docPr id="4" name="Mo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58897">
                        <a:off x="0" y="0"/>
                        <a:ext cx="2007870" cy="9632315"/>
                      </a:xfrm>
                      <a:prstGeom prst="moon">
                        <a:avLst>
                          <a:gd name="adj" fmla="val 35675"/>
                        </a:avLst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8F9CB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4" o:spid="_x0000_s1026" type="#_x0000_t184" style="position:absolute;margin-left:278.4pt;margin-top:227.95pt;width:158.1pt;height:758.45pt;rotation:-8783029fd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" adj="7706" fillcolor="#e1f9dc [3214]" stroked="f" strokeweight="1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A982" w14:textId="77777777" w:rsidR="00E444B1" w:rsidRDefault="00E44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F30F2"/>
    <w:multiLevelType w:val="hybridMultilevel"/>
    <w:tmpl w:val="D88E43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7671C"/>
    <w:multiLevelType w:val="hybridMultilevel"/>
    <w:tmpl w:val="6B449792"/>
    <w:lvl w:ilvl="0" w:tplc="54A4879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lang w:val="fr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577117">
    <w:abstractNumId w:val="0"/>
  </w:num>
  <w:num w:numId="2" w16cid:durableId="190375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E1"/>
    <w:rsid w:val="000342F7"/>
    <w:rsid w:val="000538C3"/>
    <w:rsid w:val="000B1CD3"/>
    <w:rsid w:val="0016118B"/>
    <w:rsid w:val="001B1579"/>
    <w:rsid w:val="002F7939"/>
    <w:rsid w:val="003008CD"/>
    <w:rsid w:val="00304D7A"/>
    <w:rsid w:val="0047756C"/>
    <w:rsid w:val="004A118D"/>
    <w:rsid w:val="00506AD2"/>
    <w:rsid w:val="00522942"/>
    <w:rsid w:val="00534F54"/>
    <w:rsid w:val="005579A5"/>
    <w:rsid w:val="005C13E1"/>
    <w:rsid w:val="00644CB8"/>
    <w:rsid w:val="00655314"/>
    <w:rsid w:val="00677198"/>
    <w:rsid w:val="00685B09"/>
    <w:rsid w:val="00787742"/>
    <w:rsid w:val="007A7BCB"/>
    <w:rsid w:val="00815429"/>
    <w:rsid w:val="00815DED"/>
    <w:rsid w:val="0082429F"/>
    <w:rsid w:val="00897372"/>
    <w:rsid w:val="008B4638"/>
    <w:rsid w:val="008D303B"/>
    <w:rsid w:val="00914F09"/>
    <w:rsid w:val="009542C4"/>
    <w:rsid w:val="00964907"/>
    <w:rsid w:val="009D23DC"/>
    <w:rsid w:val="009D734C"/>
    <w:rsid w:val="00BA0B0E"/>
    <w:rsid w:val="00C45F95"/>
    <w:rsid w:val="00CB5743"/>
    <w:rsid w:val="00CD1E74"/>
    <w:rsid w:val="00DF6416"/>
    <w:rsid w:val="00E444B1"/>
    <w:rsid w:val="00F628F7"/>
    <w:rsid w:val="00F9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D9FF4C6"/>
  <w15:chartTrackingRefBased/>
  <w15:docId w15:val="{DEA12E7A-8CF7-4E2E-A305-5C0DD1BB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742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74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F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C32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742"/>
    <w:rPr>
      <w:rFonts w:ascii="Franklin Gothic Book" w:eastAsiaTheme="majorEastAsia" w:hAnsi="Franklin Gothic Book" w:cstheme="majorBidi"/>
      <w:b/>
      <w:color w:val="056046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742"/>
    <w:rPr>
      <w:rFonts w:ascii="Arial" w:eastAsiaTheme="majorEastAsia" w:hAnsi="Arial" w:cstheme="majorBidi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E1"/>
  </w:style>
  <w:style w:type="paragraph" w:styleId="Footer">
    <w:name w:val="footer"/>
    <w:basedOn w:val="Normal"/>
    <w:link w:val="FooterChar"/>
    <w:uiPriority w:val="99"/>
    <w:unhideWhenUsed/>
    <w:rsid w:val="005C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E1"/>
  </w:style>
  <w:style w:type="character" w:styleId="Hyperlink">
    <w:name w:val="Hyperlink"/>
    <w:basedOn w:val="DefaultParagraphFont"/>
    <w:uiPriority w:val="99"/>
    <w:unhideWhenUsed/>
    <w:rsid w:val="005579A5"/>
    <w:rPr>
      <w:color w:val="05475E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F9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45F95"/>
    <w:rPr>
      <w:rFonts w:asciiTheme="majorHAnsi" w:eastAsiaTheme="majorEastAsia" w:hAnsiTheme="majorHAnsi" w:cstheme="majorBidi"/>
      <w:color w:val="004C32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gomaoht.ca/cpt" TargetMode="External"/></Relationships>
</file>

<file path=word/theme/theme1.xml><?xml version="1.0" encoding="utf-8"?>
<a:theme xmlns:a="http://schemas.openxmlformats.org/drawingml/2006/main" name="Office Theme">
  <a:themeElements>
    <a:clrScheme name="Algoma OHT">
      <a:dk1>
        <a:sysClr val="windowText" lastClr="000000"/>
      </a:dk1>
      <a:lt1>
        <a:sysClr val="window" lastClr="FFFFFF"/>
      </a:lt1>
      <a:dk2>
        <a:srgbClr val="056046"/>
      </a:dk2>
      <a:lt2>
        <a:srgbClr val="E1F9DC"/>
      </a:lt2>
      <a:accent1>
        <a:srgbClr val="009966"/>
      </a:accent1>
      <a:accent2>
        <a:srgbClr val="9CEE8C"/>
      </a:accent2>
      <a:accent3>
        <a:srgbClr val="86DBDB"/>
      </a:accent3>
      <a:accent4>
        <a:srgbClr val="05475E"/>
      </a:accent4>
      <a:accent5>
        <a:srgbClr val="D9F4ED"/>
      </a:accent5>
      <a:accent6>
        <a:srgbClr val="FFCC33"/>
      </a:accent6>
      <a:hlink>
        <a:srgbClr val="05475E"/>
      </a:hlink>
      <a:folHlink>
        <a:srgbClr val="86DB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 - Leah Hodgson</dc:creator>
  <cp:keywords/>
  <dc:description/>
  <cp:lastModifiedBy>Louise Malloch</cp:lastModifiedBy>
  <cp:revision>12</cp:revision>
  <cp:lastPrinted>2022-12-15T17:36:00Z</cp:lastPrinted>
  <dcterms:created xsi:type="dcterms:W3CDTF">2022-12-15T17:36:00Z</dcterms:created>
  <dcterms:modified xsi:type="dcterms:W3CDTF">2023-01-08T13:11:00Z</dcterms:modified>
</cp:coreProperties>
</file>