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BC20" w14:textId="77777777" w:rsidR="009542C4" w:rsidRDefault="009542C4" w:rsidP="009C0AE7">
      <w:pPr>
        <w:spacing w:after="0"/>
      </w:pPr>
    </w:p>
    <w:p w14:paraId="0BFE082C" w14:textId="77777777" w:rsidR="009542C4" w:rsidRDefault="009542C4" w:rsidP="009C0AE7">
      <w:pPr>
        <w:spacing w:after="0"/>
      </w:pPr>
    </w:p>
    <w:p w14:paraId="2B8C2CB8" w14:textId="77777777" w:rsidR="009542C4" w:rsidRDefault="009542C4" w:rsidP="009C0AE7">
      <w:pPr>
        <w:spacing w:after="0"/>
      </w:pPr>
    </w:p>
    <w:p w14:paraId="3B9C532E" w14:textId="46B86E24" w:rsidR="001B1FDD" w:rsidRPr="0074234B" w:rsidRDefault="00000000" w:rsidP="009C0AE7">
      <w:pPr>
        <w:pStyle w:val="Heading1"/>
        <w:rPr>
          <w:lang w:val="fr-CA"/>
        </w:rPr>
      </w:pPr>
      <w:r>
        <w:rPr>
          <w:noProof/>
        </w:rPr>
        <w:pict w14:anchorId="0C80C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54pt;width:168pt;height:54pt;z-index:251659264;mso-position-horizontal-relative:text;mso-position-vertical-relative:page;mso-width-relative:page;mso-height-relative:page">
            <v:imagedata r:id="rId7" o:title="1 AOHT COLOUR LOGO (WMF)"/>
            <w10:wrap anchory="page"/>
          </v:shape>
        </w:pict>
      </w:r>
      <w:r w:rsidR="0074234B" w:rsidRPr="0074234B">
        <w:rPr>
          <w:noProof/>
          <w:lang w:val="fr-CA"/>
        </w:rPr>
        <w:t xml:space="preserve">Travailler en partenariat avec la communauté </w:t>
      </w:r>
      <w:r w:rsidR="00103B3A">
        <w:rPr>
          <w:noProof/>
          <w:lang w:val="fr-CA"/>
        </w:rPr>
        <w:t xml:space="preserve">—  </w:t>
      </w:r>
      <w:r w:rsidR="0074234B" w:rsidRPr="0074234B">
        <w:rPr>
          <w:noProof/>
          <w:lang w:val="fr-CA"/>
        </w:rPr>
        <w:t xml:space="preserve"> </w:t>
      </w:r>
      <w:r w:rsidR="00103B3A">
        <w:rPr>
          <w:noProof/>
          <w:lang w:val="fr-CA"/>
        </w:rPr>
        <w:t>Q</w:t>
      </w:r>
      <w:r w:rsidR="0074234B" w:rsidRPr="0074234B">
        <w:rPr>
          <w:noProof/>
          <w:lang w:val="fr-CA"/>
        </w:rPr>
        <w:t xml:space="preserve">uel est mon </w:t>
      </w:r>
      <w:r w:rsidR="0074234B">
        <w:rPr>
          <w:noProof/>
          <w:lang w:val="fr-CA"/>
        </w:rPr>
        <w:t>rôle?</w:t>
      </w:r>
    </w:p>
    <w:p w14:paraId="772FD85C" w14:textId="77777777" w:rsidR="00787742" w:rsidRPr="0074234B" w:rsidRDefault="00787742" w:rsidP="009C0AE7">
      <w:pPr>
        <w:spacing w:after="0"/>
        <w:rPr>
          <w:lang w:val="fr-CA"/>
        </w:rPr>
      </w:pPr>
    </w:p>
    <w:p w14:paraId="2133F0CE" w14:textId="3CC9A70C" w:rsidR="0074234B" w:rsidRPr="0074234B" w:rsidRDefault="0074234B" w:rsidP="0074234B">
      <w:pPr>
        <w:spacing w:after="0"/>
        <w:rPr>
          <w:rFonts w:asciiTheme="majorHAnsi" w:hAnsiTheme="majorHAnsi" w:cstheme="majorHAnsi"/>
          <w:lang w:val="fr-CA"/>
        </w:rPr>
      </w:pPr>
      <w:r w:rsidRPr="0074234B">
        <w:rPr>
          <w:rFonts w:asciiTheme="majorHAnsi" w:hAnsiTheme="majorHAnsi" w:cstheme="majorHAnsi"/>
          <w:lang w:val="fr-CA"/>
        </w:rPr>
        <w:t xml:space="preserve">Le personnel et les cliniciens travaillent souvent avec des partenaires communautaires pour écouter et tirer des leçons de l’expérience des personnes qui ont accès </w:t>
      </w:r>
      <w:r w:rsidR="00743BDE">
        <w:rPr>
          <w:rFonts w:asciiTheme="majorHAnsi" w:hAnsiTheme="majorHAnsi" w:cstheme="majorHAnsi"/>
          <w:lang w:val="fr-CA"/>
        </w:rPr>
        <w:t>à des services de santé ou à des</w:t>
      </w:r>
      <w:r w:rsidRPr="0074234B">
        <w:rPr>
          <w:rFonts w:asciiTheme="majorHAnsi" w:hAnsiTheme="majorHAnsi" w:cstheme="majorHAnsi"/>
          <w:lang w:val="fr-CA"/>
        </w:rPr>
        <w:t xml:space="preserve"> services sociaux. En s’appuyant sur les recommandations des partenaires, le personnel peut trouver des solutions créatrices pour améliorer l’expérience du patient. La collaboration et la conception conjointe avec les partenaires communautaires </w:t>
      </w:r>
      <w:r w:rsidR="00743BDE">
        <w:rPr>
          <w:rFonts w:asciiTheme="majorHAnsi" w:hAnsiTheme="majorHAnsi" w:cstheme="majorHAnsi"/>
          <w:lang w:val="fr-CA"/>
        </w:rPr>
        <w:t>sont des</w:t>
      </w:r>
      <w:r w:rsidRPr="0074234B">
        <w:rPr>
          <w:rFonts w:asciiTheme="majorHAnsi" w:hAnsiTheme="majorHAnsi" w:cstheme="majorHAnsi"/>
          <w:lang w:val="fr-CA"/>
        </w:rPr>
        <w:t xml:space="preserve"> composante</w:t>
      </w:r>
      <w:r w:rsidR="00743BDE">
        <w:rPr>
          <w:rFonts w:asciiTheme="majorHAnsi" w:hAnsiTheme="majorHAnsi" w:cstheme="majorHAnsi"/>
          <w:lang w:val="fr-CA"/>
        </w:rPr>
        <w:t>s</w:t>
      </w:r>
      <w:r w:rsidRPr="0074234B">
        <w:rPr>
          <w:rFonts w:asciiTheme="majorHAnsi" w:hAnsiTheme="majorHAnsi" w:cstheme="majorHAnsi"/>
          <w:lang w:val="fr-CA"/>
        </w:rPr>
        <w:t xml:space="preserve"> essentielle</w:t>
      </w:r>
      <w:r w:rsidR="00743BDE">
        <w:rPr>
          <w:rFonts w:asciiTheme="majorHAnsi" w:hAnsiTheme="majorHAnsi" w:cstheme="majorHAnsi"/>
          <w:lang w:val="fr-CA"/>
        </w:rPr>
        <w:t>s</w:t>
      </w:r>
      <w:r w:rsidRPr="0074234B">
        <w:rPr>
          <w:rFonts w:asciiTheme="majorHAnsi" w:hAnsiTheme="majorHAnsi" w:cstheme="majorHAnsi"/>
          <w:lang w:val="fr-CA"/>
        </w:rPr>
        <w:t xml:space="preserve"> du processus d’amélioration du système de soins de santé.</w:t>
      </w:r>
    </w:p>
    <w:p w14:paraId="60A9D6EA" w14:textId="77777777" w:rsidR="0074234B" w:rsidRPr="0074234B" w:rsidRDefault="0074234B" w:rsidP="0074234B">
      <w:pPr>
        <w:spacing w:after="0"/>
        <w:rPr>
          <w:rFonts w:asciiTheme="majorHAnsi" w:hAnsiTheme="majorHAnsi" w:cstheme="majorHAnsi"/>
          <w:lang w:val="fr-CA"/>
        </w:rPr>
      </w:pPr>
    </w:p>
    <w:p w14:paraId="6EA6C52B" w14:textId="7724404E" w:rsidR="0074234B" w:rsidRPr="0074234B" w:rsidRDefault="0074234B" w:rsidP="0074234B">
      <w:pPr>
        <w:spacing w:after="0"/>
        <w:rPr>
          <w:rFonts w:asciiTheme="majorHAnsi" w:hAnsiTheme="majorHAnsi" w:cstheme="majorHAnsi"/>
          <w:lang w:val="fr-CA"/>
        </w:rPr>
      </w:pPr>
      <w:r w:rsidRPr="0074234B">
        <w:rPr>
          <w:rFonts w:asciiTheme="majorHAnsi" w:hAnsiTheme="majorHAnsi" w:cstheme="majorHAnsi"/>
          <w:lang w:val="fr-CA"/>
        </w:rPr>
        <w:t>Lorsqu’il est question de partenariat et d’engagement communautaire, le rôle primaire du personnel est de soutenir le</w:t>
      </w:r>
      <w:r w:rsidR="00983986">
        <w:rPr>
          <w:rFonts w:asciiTheme="majorHAnsi" w:hAnsiTheme="majorHAnsi" w:cstheme="majorHAnsi"/>
          <w:lang w:val="fr-CA"/>
        </w:rPr>
        <w:t>s</w:t>
      </w:r>
      <w:r w:rsidRPr="0074234B">
        <w:rPr>
          <w:rFonts w:asciiTheme="majorHAnsi" w:hAnsiTheme="majorHAnsi" w:cstheme="majorHAnsi"/>
          <w:lang w:val="fr-CA"/>
        </w:rPr>
        <w:t xml:space="preserve"> partenaire</w:t>
      </w:r>
      <w:r w:rsidR="00D90BC6">
        <w:rPr>
          <w:rFonts w:asciiTheme="majorHAnsi" w:hAnsiTheme="majorHAnsi" w:cstheme="majorHAnsi"/>
          <w:lang w:val="fr-CA"/>
        </w:rPr>
        <w:t>s</w:t>
      </w:r>
      <w:r w:rsidRPr="0074234B">
        <w:rPr>
          <w:rFonts w:asciiTheme="majorHAnsi" w:hAnsiTheme="majorHAnsi" w:cstheme="majorHAnsi"/>
          <w:lang w:val="fr-CA"/>
        </w:rPr>
        <w:t xml:space="preserve"> en l</w:t>
      </w:r>
      <w:r w:rsidR="00983986">
        <w:rPr>
          <w:rFonts w:asciiTheme="majorHAnsi" w:hAnsiTheme="majorHAnsi" w:cstheme="majorHAnsi"/>
          <w:lang w:val="fr-CA"/>
        </w:rPr>
        <w:t xml:space="preserve">es </w:t>
      </w:r>
      <w:r w:rsidRPr="0074234B">
        <w:rPr>
          <w:rFonts w:asciiTheme="majorHAnsi" w:hAnsiTheme="majorHAnsi" w:cstheme="majorHAnsi"/>
          <w:lang w:val="fr-CA"/>
        </w:rPr>
        <w:t xml:space="preserve">écoutant, en créant des possibilités de discussion, en recevant et en mettant en œuvre leurs commentaires et recommandations et en faisant la promotion du rôle des partenaires communautaires dans l’ensemble de l’ESAO. </w:t>
      </w:r>
    </w:p>
    <w:p w14:paraId="74AD1A4A" w14:textId="77777777" w:rsidR="0074234B" w:rsidRDefault="0074234B" w:rsidP="009C0AE7">
      <w:pPr>
        <w:pStyle w:val="Heading2"/>
        <w:rPr>
          <w:lang w:val="fr-CA"/>
        </w:rPr>
      </w:pPr>
    </w:p>
    <w:p w14:paraId="7622517E" w14:textId="0999F53A" w:rsidR="009C0AE7" w:rsidRPr="009C0AE7" w:rsidRDefault="009C0AE7" w:rsidP="009C0AE7">
      <w:pPr>
        <w:pStyle w:val="Heading2"/>
      </w:pPr>
      <w:r w:rsidRPr="009C0AE7">
        <w:t>R</w:t>
      </w:r>
      <w:r w:rsidR="0074234B">
        <w:t xml:space="preserve">ôles et responsabilités </w:t>
      </w:r>
      <w:r w:rsidRPr="009C0AE7">
        <w:t>:</w:t>
      </w:r>
    </w:p>
    <w:p w14:paraId="591CAD09" w14:textId="77777777" w:rsidR="0074234B" w:rsidRPr="0074234B" w:rsidRDefault="0074234B" w:rsidP="0074234B">
      <w:pPr>
        <w:numPr>
          <w:ilvl w:val="0"/>
          <w:numId w:val="4"/>
        </w:numPr>
        <w:spacing w:after="0" w:line="276" w:lineRule="auto"/>
        <w:rPr>
          <w:rFonts w:asciiTheme="majorHAnsi" w:hAnsiTheme="majorHAnsi" w:cstheme="majorHAnsi"/>
          <w:lang w:val="fr-CA"/>
        </w:rPr>
      </w:pPr>
      <w:r w:rsidRPr="0074234B">
        <w:rPr>
          <w:rFonts w:asciiTheme="majorHAnsi" w:hAnsiTheme="majorHAnsi" w:cstheme="majorHAnsi"/>
          <w:lang w:val="fr-CA"/>
        </w:rPr>
        <w:t>Créer des possibilités d’engagement et un espace qui y est favorable</w:t>
      </w:r>
    </w:p>
    <w:p w14:paraId="3C271EC4" w14:textId="77777777" w:rsidR="0074234B" w:rsidRPr="0074234B" w:rsidRDefault="0074234B" w:rsidP="0074234B">
      <w:pPr>
        <w:numPr>
          <w:ilvl w:val="0"/>
          <w:numId w:val="4"/>
        </w:numPr>
        <w:spacing w:after="0" w:line="276" w:lineRule="auto"/>
        <w:rPr>
          <w:rFonts w:asciiTheme="majorHAnsi" w:hAnsiTheme="majorHAnsi" w:cstheme="majorHAnsi"/>
          <w:lang w:val="fr-CA"/>
        </w:rPr>
      </w:pPr>
      <w:r w:rsidRPr="0074234B">
        <w:rPr>
          <w:rFonts w:asciiTheme="majorHAnsi" w:hAnsiTheme="majorHAnsi" w:cstheme="majorHAnsi"/>
          <w:lang w:val="fr-CA"/>
        </w:rPr>
        <w:t>Faire valoir le rôle des partenaires dans le cadre de votre équipe</w:t>
      </w:r>
    </w:p>
    <w:p w14:paraId="43D41FA4" w14:textId="77777777" w:rsidR="0074234B" w:rsidRPr="0074234B" w:rsidRDefault="0074234B" w:rsidP="0074234B">
      <w:pPr>
        <w:numPr>
          <w:ilvl w:val="0"/>
          <w:numId w:val="4"/>
        </w:numPr>
        <w:spacing w:after="0" w:line="276" w:lineRule="auto"/>
        <w:rPr>
          <w:rFonts w:asciiTheme="majorHAnsi" w:hAnsiTheme="majorHAnsi" w:cstheme="majorHAnsi"/>
          <w:lang w:val="fr-CA"/>
        </w:rPr>
      </w:pPr>
      <w:r w:rsidRPr="0074234B">
        <w:rPr>
          <w:rFonts w:asciiTheme="majorHAnsi" w:hAnsiTheme="majorHAnsi" w:cstheme="majorHAnsi"/>
          <w:lang w:val="fr-CA"/>
        </w:rPr>
        <w:t xml:space="preserve">Fournir des renseignements de base suffisants pour assurer une participation efficace </w:t>
      </w:r>
    </w:p>
    <w:p w14:paraId="3BCEB9A2" w14:textId="77777777" w:rsidR="0074234B" w:rsidRPr="0074234B" w:rsidRDefault="0074234B" w:rsidP="0074234B">
      <w:pPr>
        <w:numPr>
          <w:ilvl w:val="0"/>
          <w:numId w:val="4"/>
        </w:numPr>
        <w:spacing w:after="0" w:line="276" w:lineRule="auto"/>
        <w:rPr>
          <w:rFonts w:asciiTheme="majorHAnsi" w:hAnsiTheme="majorHAnsi" w:cstheme="majorHAnsi"/>
          <w:lang w:val="fr-CA"/>
        </w:rPr>
      </w:pPr>
      <w:r w:rsidRPr="0074234B">
        <w:rPr>
          <w:rFonts w:asciiTheme="majorHAnsi" w:hAnsiTheme="majorHAnsi" w:cstheme="majorHAnsi"/>
          <w:lang w:val="fr-CA"/>
        </w:rPr>
        <w:t>Éviter le recours aux acronymes et à la terminologie médicale compliquée</w:t>
      </w:r>
    </w:p>
    <w:p w14:paraId="04B45AA4" w14:textId="77777777" w:rsidR="0074234B" w:rsidRPr="0074234B" w:rsidRDefault="0074234B" w:rsidP="0074234B">
      <w:pPr>
        <w:numPr>
          <w:ilvl w:val="0"/>
          <w:numId w:val="4"/>
        </w:numPr>
        <w:spacing w:after="0" w:line="276" w:lineRule="auto"/>
        <w:rPr>
          <w:rFonts w:asciiTheme="majorHAnsi" w:hAnsiTheme="majorHAnsi" w:cstheme="majorHAnsi"/>
          <w:lang w:val="fr-CA"/>
        </w:rPr>
      </w:pPr>
      <w:r w:rsidRPr="0074234B">
        <w:rPr>
          <w:rFonts w:asciiTheme="majorHAnsi" w:hAnsiTheme="majorHAnsi" w:cstheme="majorHAnsi"/>
          <w:lang w:val="fr-CA"/>
        </w:rPr>
        <w:t>S’assurer que les partenaires disposent de la documentation nécessaire pour la réunion bien avant sa tenue</w:t>
      </w:r>
    </w:p>
    <w:p w14:paraId="1605F071" w14:textId="15CFA264" w:rsidR="0074234B" w:rsidRPr="0074234B" w:rsidRDefault="0074234B" w:rsidP="0074234B">
      <w:pPr>
        <w:numPr>
          <w:ilvl w:val="0"/>
          <w:numId w:val="4"/>
        </w:numPr>
        <w:spacing w:after="0" w:line="276" w:lineRule="auto"/>
        <w:rPr>
          <w:rFonts w:asciiTheme="majorHAnsi" w:hAnsiTheme="majorHAnsi" w:cstheme="majorHAnsi"/>
          <w:lang w:val="fr-CA"/>
        </w:rPr>
      </w:pPr>
      <w:r w:rsidRPr="0074234B">
        <w:rPr>
          <w:rFonts w:asciiTheme="majorHAnsi" w:hAnsiTheme="majorHAnsi" w:cstheme="majorHAnsi"/>
          <w:lang w:val="fr-CA"/>
        </w:rPr>
        <w:t xml:space="preserve">S’assurer que les partenaires </w:t>
      </w:r>
      <w:r w:rsidR="00983986">
        <w:rPr>
          <w:rFonts w:asciiTheme="majorHAnsi" w:hAnsiTheme="majorHAnsi" w:cstheme="majorHAnsi"/>
          <w:lang w:val="fr-CA"/>
        </w:rPr>
        <w:t>ont</w:t>
      </w:r>
      <w:r w:rsidRPr="0074234B">
        <w:rPr>
          <w:rFonts w:asciiTheme="majorHAnsi" w:hAnsiTheme="majorHAnsi" w:cstheme="majorHAnsi"/>
          <w:lang w:val="fr-CA"/>
        </w:rPr>
        <w:t xml:space="preserve"> les détails de la réunion, comme la date, l’heure et les détails de connexion</w:t>
      </w:r>
    </w:p>
    <w:p w14:paraId="7CE5CEA0" w14:textId="77777777" w:rsidR="0074234B" w:rsidRPr="0074234B" w:rsidRDefault="0074234B" w:rsidP="0074234B">
      <w:pPr>
        <w:numPr>
          <w:ilvl w:val="0"/>
          <w:numId w:val="4"/>
        </w:numPr>
        <w:spacing w:after="0" w:line="276" w:lineRule="auto"/>
        <w:rPr>
          <w:rFonts w:asciiTheme="majorHAnsi" w:hAnsiTheme="majorHAnsi" w:cstheme="majorHAnsi"/>
          <w:lang w:val="fr-CA"/>
        </w:rPr>
      </w:pPr>
      <w:r w:rsidRPr="0074234B">
        <w:rPr>
          <w:rFonts w:asciiTheme="majorHAnsi" w:hAnsiTheme="majorHAnsi" w:cstheme="majorHAnsi"/>
          <w:lang w:val="fr-CA"/>
        </w:rPr>
        <w:t>Encourager activement la participation des partenaires en ayant recours aux techniques d’animation et d’engagement</w:t>
      </w:r>
    </w:p>
    <w:p w14:paraId="1734DD71" w14:textId="4B5D43F5" w:rsidR="0074234B" w:rsidRDefault="0074234B" w:rsidP="0074234B">
      <w:pPr>
        <w:numPr>
          <w:ilvl w:val="0"/>
          <w:numId w:val="4"/>
        </w:numPr>
        <w:spacing w:after="0" w:line="276" w:lineRule="auto"/>
        <w:rPr>
          <w:rFonts w:asciiTheme="majorHAnsi" w:hAnsiTheme="majorHAnsi" w:cstheme="majorHAnsi"/>
          <w:lang w:val="fr-CA"/>
        </w:rPr>
      </w:pPr>
      <w:r w:rsidRPr="0074234B">
        <w:rPr>
          <w:rFonts w:asciiTheme="majorHAnsi" w:hAnsiTheme="majorHAnsi" w:cstheme="majorHAnsi"/>
          <w:lang w:val="fr-CA"/>
        </w:rPr>
        <w:t xml:space="preserve">Agir en qualité d’expert clinique pour pouvoir répondre aux questions ou donner suite aux commentaires des partenaires </w:t>
      </w:r>
    </w:p>
    <w:p w14:paraId="1F535144" w14:textId="39C96E0A" w:rsidR="009C0AE7" w:rsidRDefault="0074234B" w:rsidP="0074234B">
      <w:pPr>
        <w:numPr>
          <w:ilvl w:val="0"/>
          <w:numId w:val="4"/>
        </w:numPr>
        <w:spacing w:after="0" w:line="276" w:lineRule="auto"/>
        <w:rPr>
          <w:rFonts w:asciiTheme="majorHAnsi" w:hAnsiTheme="majorHAnsi" w:cstheme="majorHAnsi"/>
          <w:lang w:val="fr-CA"/>
        </w:rPr>
      </w:pPr>
      <w:r w:rsidRPr="0074234B">
        <w:rPr>
          <w:rFonts w:asciiTheme="majorHAnsi" w:hAnsiTheme="majorHAnsi" w:cstheme="majorHAnsi"/>
          <w:lang w:val="fr-CA"/>
        </w:rPr>
        <w:t>Être un champion et un défenseur du rôle des partenaires dans votre travail quotidien</w:t>
      </w:r>
    </w:p>
    <w:p w14:paraId="7F8F4846" w14:textId="18E59287" w:rsidR="0074234B" w:rsidRPr="0074234B" w:rsidRDefault="0074234B" w:rsidP="0074234B">
      <w:pPr>
        <w:spacing w:after="0" w:line="276" w:lineRule="auto"/>
        <w:ind w:left="1080"/>
        <w:rPr>
          <w:rFonts w:asciiTheme="majorHAnsi" w:hAnsiTheme="majorHAnsi" w:cstheme="majorHAnsi"/>
          <w:lang w:val="fr-CA"/>
        </w:rPr>
      </w:pPr>
    </w:p>
    <w:p w14:paraId="0ABB5B58" w14:textId="2DC8FF20" w:rsidR="0074234B" w:rsidRDefault="0074234B" w:rsidP="0074234B">
      <w:pPr>
        <w:pStyle w:val="Heading2"/>
        <w:rPr>
          <w:lang w:val="fr-CA"/>
        </w:rPr>
      </w:pPr>
      <w:r w:rsidRPr="0074234B">
        <w:rPr>
          <w:lang w:val="fr-CA"/>
        </w:rPr>
        <w:t>Caractéristiques idéales du personnel et des parten</w:t>
      </w:r>
      <w:r>
        <w:rPr>
          <w:lang w:val="fr-CA"/>
        </w:rPr>
        <w:t>aires cliniques :</w:t>
      </w:r>
    </w:p>
    <w:p w14:paraId="5A61736B" w14:textId="2C0303F3" w:rsidR="009C0AE7" w:rsidRPr="0074234B" w:rsidRDefault="009C0AE7" w:rsidP="009C0AE7">
      <w:pPr>
        <w:pStyle w:val="Heading2"/>
        <w:rPr>
          <w:lang w:val="fr-CA"/>
        </w:rPr>
      </w:pPr>
      <w:r w:rsidRPr="0074234B">
        <w:rPr>
          <w:lang w:val="fr-CA"/>
        </w:rPr>
        <w:t xml:space="preserve"> </w:t>
      </w:r>
    </w:p>
    <w:p w14:paraId="7FFF9E57" w14:textId="77777777" w:rsidR="0074234B" w:rsidRPr="0074234B" w:rsidRDefault="0074234B" w:rsidP="0074234B">
      <w:pPr>
        <w:pStyle w:val="ListParagraph"/>
        <w:numPr>
          <w:ilvl w:val="0"/>
          <w:numId w:val="2"/>
        </w:numPr>
        <w:rPr>
          <w:rFonts w:asciiTheme="majorHAnsi" w:hAnsiTheme="majorHAnsi" w:cstheme="majorHAnsi"/>
          <w:lang w:val="fr-CA"/>
        </w:rPr>
      </w:pPr>
      <w:r w:rsidRPr="0074234B">
        <w:rPr>
          <w:rFonts w:asciiTheme="majorHAnsi" w:hAnsiTheme="majorHAnsi" w:cstheme="majorHAnsi"/>
          <w:lang w:val="fr-CA"/>
        </w:rPr>
        <w:t xml:space="preserve">Traiter les points de vue et expériences des partenaires avec respect </w:t>
      </w:r>
    </w:p>
    <w:p w14:paraId="0C6A76A1" w14:textId="77777777" w:rsidR="0074234B" w:rsidRPr="0074234B" w:rsidRDefault="0074234B" w:rsidP="0074234B">
      <w:pPr>
        <w:pStyle w:val="ListParagraph"/>
        <w:numPr>
          <w:ilvl w:val="0"/>
          <w:numId w:val="2"/>
        </w:numPr>
        <w:rPr>
          <w:rFonts w:asciiTheme="majorHAnsi" w:hAnsiTheme="majorHAnsi" w:cstheme="majorHAnsi"/>
          <w:lang w:val="fr-CA"/>
        </w:rPr>
      </w:pPr>
      <w:r w:rsidRPr="0074234B">
        <w:rPr>
          <w:rFonts w:asciiTheme="majorHAnsi" w:hAnsiTheme="majorHAnsi" w:cstheme="majorHAnsi"/>
          <w:lang w:val="fr-CA"/>
        </w:rPr>
        <w:t>Manifester une attitude positive et libre de tout jugement</w:t>
      </w:r>
    </w:p>
    <w:p w14:paraId="6B55BE40" w14:textId="77777777" w:rsidR="0074234B" w:rsidRPr="0074234B" w:rsidRDefault="0074234B" w:rsidP="0074234B">
      <w:pPr>
        <w:pStyle w:val="ListParagraph"/>
        <w:numPr>
          <w:ilvl w:val="0"/>
          <w:numId w:val="2"/>
        </w:numPr>
        <w:rPr>
          <w:rFonts w:asciiTheme="majorHAnsi" w:hAnsiTheme="majorHAnsi" w:cstheme="majorHAnsi"/>
          <w:lang w:val="fr-CA"/>
        </w:rPr>
      </w:pPr>
      <w:r w:rsidRPr="0074234B">
        <w:rPr>
          <w:rFonts w:asciiTheme="majorHAnsi" w:hAnsiTheme="majorHAnsi" w:cstheme="majorHAnsi"/>
          <w:lang w:val="fr-CA"/>
        </w:rPr>
        <w:t xml:space="preserve">Promouvoir et défendre le rôle des partenaires </w:t>
      </w:r>
    </w:p>
    <w:p w14:paraId="53708D31" w14:textId="77777777" w:rsidR="0074234B" w:rsidRPr="0074234B" w:rsidRDefault="0074234B" w:rsidP="0074234B">
      <w:pPr>
        <w:pStyle w:val="ListParagraph"/>
        <w:numPr>
          <w:ilvl w:val="0"/>
          <w:numId w:val="2"/>
        </w:numPr>
        <w:rPr>
          <w:rFonts w:asciiTheme="majorHAnsi" w:hAnsiTheme="majorHAnsi" w:cstheme="majorHAnsi"/>
          <w:lang w:val="fr-CA"/>
        </w:rPr>
      </w:pPr>
      <w:r w:rsidRPr="0074234B">
        <w:rPr>
          <w:rFonts w:asciiTheme="majorHAnsi" w:hAnsiTheme="majorHAnsi" w:cstheme="majorHAnsi"/>
          <w:lang w:val="fr-CA"/>
        </w:rPr>
        <w:t xml:space="preserve">Travailler en collaboration avec les partenaires </w:t>
      </w:r>
    </w:p>
    <w:p w14:paraId="1FE57907" w14:textId="77777777" w:rsidR="0074234B" w:rsidRPr="0074234B" w:rsidRDefault="0074234B" w:rsidP="0074234B">
      <w:pPr>
        <w:pStyle w:val="ListParagraph"/>
        <w:numPr>
          <w:ilvl w:val="0"/>
          <w:numId w:val="2"/>
        </w:numPr>
        <w:rPr>
          <w:rFonts w:asciiTheme="majorHAnsi" w:hAnsiTheme="majorHAnsi" w:cstheme="majorHAnsi"/>
          <w:lang w:val="fr-CA"/>
        </w:rPr>
      </w:pPr>
      <w:r w:rsidRPr="0074234B">
        <w:rPr>
          <w:rFonts w:asciiTheme="majorHAnsi" w:hAnsiTheme="majorHAnsi" w:cstheme="majorHAnsi"/>
          <w:lang w:val="fr-CA"/>
        </w:rPr>
        <w:lastRenderedPageBreak/>
        <w:t>Chercher activement à produire des changements concrets</w:t>
      </w:r>
    </w:p>
    <w:p w14:paraId="1AE634B5" w14:textId="311EA729" w:rsidR="00787742" w:rsidRPr="0074234B" w:rsidRDefault="00787742" w:rsidP="0074234B">
      <w:pPr>
        <w:pStyle w:val="ListParagraph"/>
        <w:spacing w:after="0" w:line="276" w:lineRule="auto"/>
        <w:ind w:left="1080"/>
        <w:rPr>
          <w:rFonts w:asciiTheme="majorHAnsi" w:hAnsiTheme="majorHAnsi" w:cstheme="majorHAnsi"/>
          <w:lang w:val="fr-CA"/>
        </w:rPr>
      </w:pPr>
    </w:p>
    <w:sectPr w:rsidR="00787742" w:rsidRPr="007423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DB84" w14:textId="77777777" w:rsidR="005E170E" w:rsidRDefault="005E170E" w:rsidP="005C13E1">
      <w:pPr>
        <w:spacing w:after="0" w:line="240" w:lineRule="auto"/>
      </w:pPr>
      <w:r>
        <w:separator/>
      </w:r>
    </w:p>
  </w:endnote>
  <w:endnote w:type="continuationSeparator" w:id="0">
    <w:p w14:paraId="6BAFB4B7" w14:textId="77777777" w:rsidR="005E170E" w:rsidRDefault="005E170E" w:rsidP="005C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949B" w14:textId="77777777" w:rsidR="009F7670" w:rsidRDefault="009F7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8405" w14:textId="77777777" w:rsidR="005579A5" w:rsidRDefault="005579A5" w:rsidP="005C13E1">
    <w:pPr>
      <w:pStyle w:val="Footer"/>
      <w:jc w:val="right"/>
      <w:rPr>
        <w:rFonts w:ascii="Calibri Light" w:hAnsi="Calibri Light" w:cs="Calibri Light"/>
      </w:rPr>
    </w:pPr>
  </w:p>
  <w:p w14:paraId="6756C070" w14:textId="739169BF" w:rsidR="005C13E1" w:rsidRPr="0074234B" w:rsidRDefault="00000000" w:rsidP="005579A5">
    <w:pPr>
      <w:pStyle w:val="Footer"/>
      <w:rPr>
        <w:rFonts w:ascii="Franklin Gothic Book" w:hAnsi="Franklin Gothic Book"/>
        <w:b/>
        <w:color w:val="056046" w:themeColor="text2"/>
        <w:lang w:val="fr-CA"/>
      </w:rPr>
    </w:pPr>
    <w:hyperlink r:id="rId1" w:history="1">
      <w:r w:rsidR="0074234B" w:rsidRPr="0074234B">
        <w:rPr>
          <w:rStyle w:val="Hyperlink"/>
          <w:rFonts w:ascii="Arial" w:hAnsi="Arial" w:cs="Arial"/>
          <w:b/>
          <w:color w:val="056046" w:themeColor="text2"/>
          <w:sz w:val="20"/>
          <w:u w:val="none"/>
          <w:lang w:val="fr-CA"/>
        </w:rPr>
        <w:t>Boîte à outils de l’ESAO sur le</w:t>
      </w:r>
      <w:r w:rsidR="0074234B">
        <w:rPr>
          <w:rStyle w:val="Hyperlink"/>
          <w:rFonts w:ascii="Arial" w:hAnsi="Arial" w:cs="Arial"/>
          <w:b/>
          <w:color w:val="056046" w:themeColor="text2"/>
          <w:sz w:val="20"/>
          <w:u w:val="none"/>
          <w:lang w:val="fr-CA"/>
        </w:rPr>
        <w:t xml:space="preserve"> partenariat communautaire</w:t>
      </w:r>
    </w:hyperlink>
    <w:r w:rsidR="00815DED">
      <w:rPr>
        <w:rFonts w:ascii="Calibri Light" w:hAnsi="Calibri Light" w:cs="Calibri Light"/>
        <w:noProof/>
        <w:lang w:eastAsia="en-CA"/>
      </w:rPr>
      <mc:AlternateContent>
        <mc:Choice Requires="wps">
          <w:drawing>
            <wp:anchor distT="0" distB="0" distL="114300" distR="114300" simplePos="0" relativeHeight="251660288" behindDoc="1" locked="0" layoutInCell="1" allowOverlap="1" wp14:anchorId="405DED00" wp14:editId="6E59DD68">
              <wp:simplePos x="0" y="0"/>
              <wp:positionH relativeFrom="column">
                <wp:posOffset>4463415</wp:posOffset>
              </wp:positionH>
              <wp:positionV relativeFrom="paragraph">
                <wp:posOffset>-2518410</wp:posOffset>
              </wp:positionV>
              <wp:extent cx="1401445" cy="5545455"/>
              <wp:effectExtent l="0" t="1329055" r="0" b="565150"/>
              <wp:wrapNone/>
              <wp:docPr id="3" name="Moon 3"/>
              <wp:cNvGraphicFramePr/>
              <a:graphic xmlns:a="http://schemas.openxmlformats.org/drawingml/2006/main">
                <a:graphicData uri="http://schemas.microsoft.com/office/word/2010/wordprocessingShape">
                  <wps:wsp>
                    <wps:cNvSpPr/>
                    <wps:spPr>
                      <a:xfrm rot="14367045">
                        <a:off x="0" y="0"/>
                        <a:ext cx="1401445" cy="5545455"/>
                      </a:xfrm>
                      <a:prstGeom prst="moon">
                        <a:avLst>
                          <a:gd name="adj" fmla="val 7357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162DD"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3" o:spid="_x0000_s1026" type="#_x0000_t184" style="position:absolute;margin-left:351.45pt;margin-top:-198.3pt;width:110.35pt;height:436.65pt;rotation:-790031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" adj="15891" fillcolor="#9cee8c [3205]" stroked="f" strokeweight="1pt"/>
          </w:pict>
        </mc:Fallback>
      </mc:AlternateContent>
    </w:r>
    <w:r w:rsidR="005C13E1">
      <w:rPr>
        <w:rFonts w:ascii="Calibri Light" w:hAnsi="Calibri Light" w:cs="Calibri Light"/>
        <w:noProof/>
        <w:lang w:eastAsia="en-CA"/>
      </w:rPr>
      <mc:AlternateContent>
        <mc:Choice Requires="wps">
          <w:drawing>
            <wp:anchor distT="0" distB="0" distL="114300" distR="114300" simplePos="0" relativeHeight="251658239" behindDoc="1" locked="0" layoutInCell="1" allowOverlap="1" wp14:anchorId="088FD8C5" wp14:editId="117BA5F5">
              <wp:simplePos x="0" y="0"/>
              <wp:positionH relativeFrom="page">
                <wp:posOffset>3459479</wp:posOffset>
              </wp:positionH>
              <wp:positionV relativeFrom="paragraph">
                <wp:posOffset>-2821305</wp:posOffset>
              </wp:positionV>
              <wp:extent cx="4656455" cy="3597275"/>
              <wp:effectExtent l="0" t="0" r="0" b="3175"/>
              <wp:wrapNone/>
              <wp:docPr id="2" name="Right Triangle 2"/>
              <wp:cNvGraphicFramePr/>
              <a:graphic xmlns:a="http://schemas.openxmlformats.org/drawingml/2006/main">
                <a:graphicData uri="http://schemas.microsoft.com/office/word/2010/wordprocessingShape">
                  <wps:wsp>
                    <wps:cNvSpPr/>
                    <wps:spPr>
                      <a:xfrm flipH="1">
                        <a:off x="0" y="0"/>
                        <a:ext cx="4656455" cy="3597275"/>
                      </a:xfrm>
                      <a:prstGeom prst="rtTriangl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8DB6D"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272.4pt;margin-top:-222.15pt;width:366.65pt;height:283.25pt;flip:x;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" fillcolor="#e1f9dc [3214]" stroked="f" strokeweight="1pt">
              <w10:wrap anchorx="page"/>
            </v:shape>
          </w:pict>
        </mc:Fallback>
      </mc:AlternateContent>
    </w:r>
    <w:r w:rsidR="005C13E1">
      <w:rPr>
        <w:rFonts w:ascii="Calibri Light" w:hAnsi="Calibri Light" w:cs="Calibri Light"/>
        <w:noProof/>
        <w:lang w:eastAsia="en-CA"/>
      </w:rPr>
      <mc:AlternateContent>
        <mc:Choice Requires="wps">
          <w:drawing>
            <wp:anchor distT="0" distB="0" distL="114300" distR="114300" simplePos="0" relativeHeight="251659264" behindDoc="1" locked="0" layoutInCell="1" allowOverlap="1" wp14:anchorId="4F9A57CF" wp14:editId="6F2775B1">
              <wp:simplePos x="0" y="0"/>
              <wp:positionH relativeFrom="column">
                <wp:posOffset>3529965</wp:posOffset>
              </wp:positionH>
              <wp:positionV relativeFrom="paragraph">
                <wp:posOffset>-698500</wp:posOffset>
              </wp:positionV>
              <wp:extent cx="3338195" cy="1477645"/>
              <wp:effectExtent l="0" t="0" r="0" b="8255"/>
              <wp:wrapNone/>
              <wp:docPr id="1" name="Right Triangle 1"/>
              <wp:cNvGraphicFramePr/>
              <a:graphic xmlns:a="http://schemas.openxmlformats.org/drawingml/2006/main">
                <a:graphicData uri="http://schemas.microsoft.com/office/word/2010/wordprocessingShape">
                  <wps:wsp>
                    <wps:cNvSpPr/>
                    <wps:spPr>
                      <a:xfrm flipH="1">
                        <a:off x="0" y="0"/>
                        <a:ext cx="3338195" cy="1477645"/>
                      </a:xfrm>
                      <a:prstGeom prst="r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2ED0" id="Right Triangle 1" o:spid="_x0000_s1026" type="#_x0000_t6" style="position:absolute;margin-left:277.95pt;margin-top:-55pt;width:262.85pt;height:116.3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" fillcolor="#9cee8c [3205]" stroked="f" strokeweight="1pt"/>
          </w:pict>
        </mc:Fallback>
      </mc:AlternateContent>
    </w:r>
    <w:r w:rsidR="005C13E1" w:rsidRPr="0074234B">
      <w:rPr>
        <w:lang w:val="fr-CA"/>
      </w:rPr>
      <w:tab/>
    </w:r>
    <w:sdt>
      <w:sdtPr>
        <w:id w:val="199206145"/>
        <w:docPartObj>
          <w:docPartGallery w:val="Page Numbers (Bottom of Page)"/>
          <w:docPartUnique/>
        </w:docPartObj>
      </w:sdtPr>
      <w:sdtEndPr>
        <w:rPr>
          <w:rFonts w:ascii="Franklin Gothic Book" w:hAnsi="Franklin Gothic Book"/>
          <w:noProof/>
        </w:rPr>
      </w:sdtEndPr>
      <w:sdtContent>
        <w:r w:rsidR="005C13E1" w:rsidRPr="005579A5">
          <w:rPr>
            <w:rFonts w:ascii="Franklin Gothic Book" w:hAnsi="Franklin Gothic Book"/>
          </w:rPr>
          <w:fldChar w:fldCharType="begin"/>
        </w:r>
        <w:r w:rsidR="005C13E1" w:rsidRPr="0074234B">
          <w:rPr>
            <w:rFonts w:ascii="Franklin Gothic Book" w:hAnsi="Franklin Gothic Book"/>
            <w:lang w:val="fr-CA"/>
          </w:rPr>
          <w:instrText xml:space="preserve"> PAGE   \* MERGEFORMAT </w:instrText>
        </w:r>
        <w:r w:rsidR="005C13E1" w:rsidRPr="005579A5">
          <w:rPr>
            <w:rFonts w:ascii="Franklin Gothic Book" w:hAnsi="Franklin Gothic Book"/>
          </w:rPr>
          <w:fldChar w:fldCharType="separate"/>
        </w:r>
        <w:r w:rsidR="00B040FC" w:rsidRPr="0074234B">
          <w:rPr>
            <w:rFonts w:ascii="Franklin Gothic Book" w:hAnsi="Franklin Gothic Book"/>
            <w:noProof/>
            <w:lang w:val="fr-CA"/>
          </w:rPr>
          <w:t>1</w:t>
        </w:r>
        <w:r w:rsidR="005C13E1" w:rsidRPr="005579A5">
          <w:rPr>
            <w:rFonts w:ascii="Franklin Gothic Book" w:hAnsi="Franklin Gothic Book"/>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525E" w14:textId="77777777" w:rsidR="009F7670" w:rsidRDefault="009F7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63BF" w14:textId="77777777" w:rsidR="005E170E" w:rsidRDefault="005E170E" w:rsidP="005C13E1">
      <w:pPr>
        <w:spacing w:after="0" w:line="240" w:lineRule="auto"/>
      </w:pPr>
      <w:r>
        <w:separator/>
      </w:r>
    </w:p>
  </w:footnote>
  <w:footnote w:type="continuationSeparator" w:id="0">
    <w:p w14:paraId="787F9C62" w14:textId="77777777" w:rsidR="005E170E" w:rsidRDefault="005E170E" w:rsidP="005C1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CEB" w14:textId="77777777" w:rsidR="009F7670" w:rsidRDefault="009F7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8298" w14:textId="77777777" w:rsidR="005C13E1" w:rsidRDefault="005C13E1">
    <w:pPr>
      <w:pStyle w:val="Header"/>
    </w:pPr>
    <w:r>
      <w:rPr>
        <w:rFonts w:ascii="Calibri Light" w:hAnsi="Calibri Light" w:cs="Calibri Light"/>
        <w:noProof/>
        <w:lang w:eastAsia="en-CA"/>
      </w:rPr>
      <mc:AlternateContent>
        <mc:Choice Requires="wps">
          <w:drawing>
            <wp:anchor distT="0" distB="0" distL="114300" distR="114300" simplePos="0" relativeHeight="251657214" behindDoc="1" locked="0" layoutInCell="1" allowOverlap="1" wp14:anchorId="27DA8B9F" wp14:editId="062B2603">
              <wp:simplePos x="0" y="0"/>
              <wp:positionH relativeFrom="margin">
                <wp:posOffset>3535997</wp:posOffset>
              </wp:positionH>
              <wp:positionV relativeFrom="paragraph">
                <wp:posOffset>2895282</wp:posOffset>
              </wp:positionV>
              <wp:extent cx="2007870" cy="9632315"/>
              <wp:effectExtent l="0" t="3069273" r="0" b="1933257"/>
              <wp:wrapNone/>
              <wp:docPr id="4" name="Moon 4"/>
              <wp:cNvGraphicFramePr/>
              <a:graphic xmlns:a="http://schemas.openxmlformats.org/drawingml/2006/main">
                <a:graphicData uri="http://schemas.microsoft.com/office/word/2010/wordprocessingShape">
                  <wps:wsp>
                    <wps:cNvSpPr/>
                    <wps:spPr>
                      <a:xfrm rot="13558897">
                        <a:off x="0" y="0"/>
                        <a:ext cx="2007870" cy="9632315"/>
                      </a:xfrm>
                      <a:prstGeom prst="moon">
                        <a:avLst>
                          <a:gd name="adj" fmla="val 35675"/>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8F9CB"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278.4pt;margin-top:227.95pt;width:158.1pt;height:758.45pt;rotation:-8783029fd;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" adj="7706" fillcolor="#e1f9dc [3214]" stroked="f" strokeweight="1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6E60" w14:textId="77777777" w:rsidR="009F7670" w:rsidRDefault="009F7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0AC"/>
    <w:multiLevelType w:val="hybridMultilevel"/>
    <w:tmpl w:val="DABE6B46"/>
    <w:lvl w:ilvl="0" w:tplc="F23226E0">
      <w:numFmt w:val="bullet"/>
      <w:lvlText w:val="•"/>
      <w:lvlJc w:val="left"/>
      <w:pPr>
        <w:ind w:left="1080" w:hanging="72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DD50A6"/>
    <w:multiLevelType w:val="hybridMultilevel"/>
    <w:tmpl w:val="6D5A873A"/>
    <w:lvl w:ilvl="0" w:tplc="F23226E0">
      <w:numFmt w:val="bullet"/>
      <w:lvlText w:val="•"/>
      <w:lvlJc w:val="left"/>
      <w:pPr>
        <w:ind w:left="1080" w:hanging="72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D180FC7"/>
    <w:multiLevelType w:val="hybridMultilevel"/>
    <w:tmpl w:val="FD625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80775A3"/>
    <w:multiLevelType w:val="hybridMultilevel"/>
    <w:tmpl w:val="7310C8B6"/>
    <w:lvl w:ilvl="0" w:tplc="7C6800EE">
      <w:numFmt w:val="bullet"/>
      <w:lvlText w:val="•"/>
      <w:lvlJc w:val="left"/>
      <w:pPr>
        <w:ind w:left="1080" w:hanging="720"/>
      </w:pPr>
      <w:rPr>
        <w:rFonts w:ascii="Calibri Light" w:eastAsiaTheme="minorHAnsi" w:hAnsi="Calibri Light" w:cs="Calibri Light"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0467562">
    <w:abstractNumId w:val="2"/>
  </w:num>
  <w:num w:numId="2" w16cid:durableId="599873882">
    <w:abstractNumId w:val="0"/>
  </w:num>
  <w:num w:numId="3" w16cid:durableId="1385061345">
    <w:abstractNumId w:val="1"/>
  </w:num>
  <w:num w:numId="4" w16cid:durableId="1364863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E1"/>
    <w:rsid w:val="000342F7"/>
    <w:rsid w:val="000538C3"/>
    <w:rsid w:val="00070D23"/>
    <w:rsid w:val="000C1FF9"/>
    <w:rsid w:val="00103B3A"/>
    <w:rsid w:val="002862C7"/>
    <w:rsid w:val="002F16EB"/>
    <w:rsid w:val="002F7939"/>
    <w:rsid w:val="003A4BAC"/>
    <w:rsid w:val="005579A5"/>
    <w:rsid w:val="005C13E1"/>
    <w:rsid w:val="005E170E"/>
    <w:rsid w:val="00644CB8"/>
    <w:rsid w:val="0074234B"/>
    <w:rsid w:val="00743BDE"/>
    <w:rsid w:val="00787742"/>
    <w:rsid w:val="008111C9"/>
    <w:rsid w:val="00815DED"/>
    <w:rsid w:val="009542C4"/>
    <w:rsid w:val="00983986"/>
    <w:rsid w:val="009C0AE7"/>
    <w:rsid w:val="009C5D33"/>
    <w:rsid w:val="009D23DC"/>
    <w:rsid w:val="009F7670"/>
    <w:rsid w:val="00B040FC"/>
    <w:rsid w:val="00B96C63"/>
    <w:rsid w:val="00D0434E"/>
    <w:rsid w:val="00D90BC6"/>
    <w:rsid w:val="00F916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6EC312"/>
  <w15:chartTrackingRefBased/>
  <w15:docId w15:val="{DEA12E7A-8CF7-4E2E-A305-5C0DD1BB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742"/>
    <w:pPr>
      <w:keepNext/>
      <w:keepLines/>
      <w:spacing w:before="240" w:after="0"/>
      <w:outlineLvl w:val="0"/>
    </w:pPr>
    <w:rPr>
      <w:rFonts w:ascii="Franklin Gothic Book" w:eastAsiaTheme="majorEastAsia" w:hAnsi="Franklin Gothic Book" w:cstheme="majorBidi"/>
      <w:b/>
      <w:color w:val="056046" w:themeColor="text2"/>
      <w:sz w:val="44"/>
      <w:szCs w:val="32"/>
    </w:rPr>
  </w:style>
  <w:style w:type="paragraph" w:styleId="Heading2">
    <w:name w:val="heading 2"/>
    <w:basedOn w:val="Normal"/>
    <w:next w:val="Normal"/>
    <w:link w:val="Heading2Char"/>
    <w:uiPriority w:val="9"/>
    <w:unhideWhenUsed/>
    <w:qFormat/>
    <w:rsid w:val="00787742"/>
    <w:pPr>
      <w:keepNext/>
      <w:keepLines/>
      <w:spacing w:before="40" w:after="0"/>
      <w:outlineLvl w:val="1"/>
    </w:pPr>
    <w:rPr>
      <w:rFonts w:ascii="Arial" w:eastAsiaTheme="majorEastAsia" w:hAnsi="Arial"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742"/>
    <w:rPr>
      <w:rFonts w:ascii="Franklin Gothic Book" w:eastAsiaTheme="majorEastAsia" w:hAnsi="Franklin Gothic Book" w:cstheme="majorBidi"/>
      <w:b/>
      <w:color w:val="056046" w:themeColor="text2"/>
      <w:sz w:val="44"/>
      <w:szCs w:val="32"/>
    </w:rPr>
  </w:style>
  <w:style w:type="character" w:customStyle="1" w:styleId="Heading2Char">
    <w:name w:val="Heading 2 Char"/>
    <w:basedOn w:val="DefaultParagraphFont"/>
    <w:link w:val="Heading2"/>
    <w:uiPriority w:val="9"/>
    <w:rsid w:val="00787742"/>
    <w:rPr>
      <w:rFonts w:ascii="Arial" w:eastAsiaTheme="majorEastAsia" w:hAnsi="Arial" w:cstheme="majorBidi"/>
      <w:sz w:val="28"/>
      <w:szCs w:val="26"/>
    </w:rPr>
  </w:style>
  <w:style w:type="paragraph" w:styleId="Header">
    <w:name w:val="header"/>
    <w:basedOn w:val="Normal"/>
    <w:link w:val="HeaderChar"/>
    <w:uiPriority w:val="99"/>
    <w:unhideWhenUsed/>
    <w:rsid w:val="005C1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3E1"/>
  </w:style>
  <w:style w:type="paragraph" w:styleId="Footer">
    <w:name w:val="footer"/>
    <w:basedOn w:val="Normal"/>
    <w:link w:val="FooterChar"/>
    <w:uiPriority w:val="99"/>
    <w:unhideWhenUsed/>
    <w:rsid w:val="005C1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3E1"/>
  </w:style>
  <w:style w:type="character" w:styleId="Hyperlink">
    <w:name w:val="Hyperlink"/>
    <w:basedOn w:val="DefaultParagraphFont"/>
    <w:uiPriority w:val="99"/>
    <w:unhideWhenUsed/>
    <w:rsid w:val="005579A5"/>
    <w:rPr>
      <w:color w:val="05475E" w:themeColor="hyperlink"/>
      <w:u w:val="single"/>
    </w:rPr>
  </w:style>
  <w:style w:type="paragraph" w:styleId="ListParagraph">
    <w:name w:val="List Paragraph"/>
    <w:basedOn w:val="Normal"/>
    <w:uiPriority w:val="34"/>
    <w:qFormat/>
    <w:rsid w:val="000C1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lgomaoht.ca/cpt" TargetMode="External"/></Relationships>
</file>

<file path=word/theme/theme1.xml><?xml version="1.0" encoding="utf-8"?>
<a:theme xmlns:a="http://schemas.openxmlformats.org/drawingml/2006/main" name="Office Theme">
  <a:themeElements>
    <a:clrScheme name="Algoma OHT">
      <a:dk1>
        <a:sysClr val="windowText" lastClr="000000"/>
      </a:dk1>
      <a:lt1>
        <a:sysClr val="window" lastClr="FFFFFF"/>
      </a:lt1>
      <a:dk2>
        <a:srgbClr val="056046"/>
      </a:dk2>
      <a:lt2>
        <a:srgbClr val="E1F9DC"/>
      </a:lt2>
      <a:accent1>
        <a:srgbClr val="009966"/>
      </a:accent1>
      <a:accent2>
        <a:srgbClr val="9CEE8C"/>
      </a:accent2>
      <a:accent3>
        <a:srgbClr val="86DBDB"/>
      </a:accent3>
      <a:accent4>
        <a:srgbClr val="05475E"/>
      </a:accent4>
      <a:accent5>
        <a:srgbClr val="D9F4ED"/>
      </a:accent5>
      <a:accent6>
        <a:srgbClr val="FFCC33"/>
      </a:accent6>
      <a:hlink>
        <a:srgbClr val="05475E"/>
      </a:hlink>
      <a:folHlink>
        <a:srgbClr val="86DBD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 - Leah Hodgson</dc:creator>
  <cp:keywords/>
  <dc:description/>
  <cp:lastModifiedBy>Louise Malloch</cp:lastModifiedBy>
  <cp:revision>9</cp:revision>
  <cp:lastPrinted>2022-12-15T17:38:00Z</cp:lastPrinted>
  <dcterms:created xsi:type="dcterms:W3CDTF">2022-12-15T17:38:00Z</dcterms:created>
  <dcterms:modified xsi:type="dcterms:W3CDTF">2023-01-08T13:00:00Z</dcterms:modified>
</cp:coreProperties>
</file>